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16345E"/>
          <w:sz w:val="40"/>
        </w:rPr>
        <w:t>전략적 투자 및 업무제휴 계약서</w:t>
      </w:r>
    </w:p>
    <w:p>
      <w:pPr>
        <w:spacing w:after="280"/>
        <w:jc w:val="center"/>
      </w:pPr>
      <w:r>
        <w:rPr>
          <w:rFonts w:ascii="맑은 고딕" w:hAnsi="맑은 고딕" w:eastAsia="맑은 고딕"/>
          <w:b w:val="0"/>
          <w:color w:val="C2410C"/>
          <w:sz w:val="18"/>
        </w:rPr>
        <w:t>※ 본 계약서는 시연용 예시(표준안)이며, 실제 체결 시 법률·회계 검토 및 개별 협의로 확정됩니다.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주식회사 하이핀테크(이하 「갑」)와 아래 투자자(이하 「을」)는 「갑」이 운영하는 AI 헬스케어·핀테크 플랫폼 ‘HI-Fin’에 대한 「을」의 전략적 투자 및 양사 간 업무제휴에 관하여 다음과 같이 계약을 체결한다.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제1조 (목적)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본 계약은 「을」이 「갑」에 대하여 지분투자를 실행하고, 「갑」의 헬스케어 플랫폼(건강검진 데이터 기반 AI 분석·상담, 맞춤 커머스, 검진·예약·보험 연계, EMR-UIP 제휴 네트워크) 상에서 「을」의 제품·서비스가 우선 노출·입점되는 전략적 제휴 관계를 형성함을 목적으로 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제2조 (투자 유형 및 대상)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① 「을」의 투자 유형은 다음 각 호 중 하나로 한다.</w:t>
      </w:r>
    </w:p>
    <w:p>
      <w:pPr>
        <w:spacing w:after="60" w:line="300" w:lineRule="auto"/>
        <w:ind w:left="340"/>
      </w:pPr>
      <w:r>
        <w:rPr>
          <w:rFonts w:ascii="맑은 고딕" w:hAnsi="맑은 고딕" w:eastAsia="맑은 고딕"/>
          <w:b w:val="0"/>
          <w:sz w:val="21"/>
        </w:rPr>
        <w:t>1. 전략적 투자자(SI) : 건강식단 / 영양제 / 의료기기 카테고리 중 택일하여 해당 분야의 전략적 파트너로 참여</w:t>
      </w:r>
    </w:p>
    <w:p>
      <w:pPr>
        <w:spacing w:after="60" w:line="300" w:lineRule="auto"/>
        <w:ind w:left="340"/>
      </w:pPr>
      <w:r>
        <w:rPr>
          <w:rFonts w:ascii="맑은 고딕" w:hAnsi="맑은 고딕" w:eastAsia="맑은 고딕"/>
          <w:b w:val="0"/>
          <w:sz w:val="21"/>
        </w:rPr>
        <w:t>2. 일반 법인 투자자(FI) : 재무적 투자 목적으로 참여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② 「을」이 선택한 투자 유형 및 카테고리는 별지 제1호 ‘투자 신청 정보’에 따른다.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제3조 (기업가치 및 발행조건)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① 본 라운드의 투자 전 기업가치(Pre-money Valuation)는 금 100억원(₩10,000,000,000)으로 한다.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② 회원 청약분의 1주당 가격은 「갑」의 재무제표상 당해연도 예상 당기순이익에 주가수익비율(PER) 35배를 적용한 기업가치를 총발행주식수로 나누어 산정하며, 산정 기준은 청약 시점에 공지한다.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③ 「을」의 신주 인수가액·수량은 제2조의 투자 유형 및 제4조의 한도 내에서 「갑」·「을」이 협의하여 확정한다.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제4조 (SI 투자한도 및 부가가치)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SI 카테고리별 투자한도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지분 5% 이내 (금 5억원 상당)</w:t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전략적 부가가치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계약일로부터 3년간 해당 카테고리 우선 입점 + 플랫폼 섹션 최상단 노출</w:t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독점/우선권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동일 카테고리 내 우선 협상권 부여(세부 조건 별도 협의)</w:t>
            </w:r>
          </w:p>
        </w:tc>
      </w:tr>
    </w:tbl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제5조 (납입 방법 — 3단계 트랜치)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1차 (계약금)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총 투자금액의 30% — 본 계약 체결일로부터 7영업일 이내</w:t>
            </w:r>
          </w:p>
        </w:tc>
      </w:tr>
      <w:tr>
        <w:tc>
          <w:tcPr>
            <w:tcW w:type="dxa" w:w="2551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2차 (중도금)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총 투자금액의 30% — 「갑」의 영업개시 전</w:t>
            </w:r>
          </w:p>
        </w:tc>
      </w:tr>
      <w:tr>
        <w:tc>
          <w:tcPr>
            <w:tcW w:type="dxa" w:w="2551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3차 (잔금)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총 투자금액의 40% — 영업개시 후 3개월 이내</w:t>
            </w:r>
          </w:p>
        </w:tc>
      </w:tr>
    </w:tbl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19"/>
        </w:rPr>
        <w:t>각 트랜치의 구체적 납입일·조건은 별도 합의서로 정할 수 있다.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제6조 (후속 라운드)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2차 라운드는 「갑」의 영업개시 후 기업가치(Valuation) 1,000억원을 기준으로 지분 10% 이내에서 진행할 것을 예정하며, 세부 조건은 시장 상황과 실적에 따라 「갑」의 이사회 결의 및 당사자 협의로 정한다.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제7조 (주주의 권리·의무)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① 「을」은 관계 법령 및 「갑」의 정관이 정하는 바에 따라 주주로서의 권리를 가진다.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② 「을」은 「갑」으로부터 정기 IR 자료 및 주요 경영 현황을 제공받는다.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③ 「을」은 취득한 「갑」의 미공개 정보·영업비밀을 제9조에 따라 비밀로 유지한다.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제8조 (투자위험의 고지 및 확인)</w:t>
      </w:r>
    </w:p>
    <w:p>
      <w:pPr>
        <w:spacing w:after="60" w:line="300" w:lineRule="auto"/>
      </w:pPr>
      <w:r>
        <w:rPr>
          <w:rFonts w:ascii="맑은 고딕" w:hAnsi="맑은 고딕" w:eastAsia="맑은 고딕"/>
          <w:b/>
          <w:sz w:val="21"/>
        </w:rPr>
        <w:t>「을」은 다음 사항을 충분히 이해하고 본 계약을 체결한다.</w:t>
      </w:r>
    </w:p>
    <w:p>
      <w:pPr>
        <w:spacing w:after="60" w:line="300" w:lineRule="auto"/>
        <w:ind w:left="340"/>
      </w:pPr>
      <w:r>
        <w:rPr>
          <w:rFonts w:ascii="맑은 고딕" w:hAnsi="맑은 고딕" w:eastAsia="맑은 고딕"/>
          <w:b w:val="0"/>
          <w:sz w:val="21"/>
        </w:rPr>
        <w:t>1. 본 투자는 비상장주식 투자로서 원금 손실의 위험이 있다.</w:t>
      </w:r>
    </w:p>
    <w:p>
      <w:pPr>
        <w:spacing w:after="60" w:line="300" w:lineRule="auto"/>
        <w:ind w:left="340"/>
      </w:pPr>
      <w:r>
        <w:rPr>
          <w:rFonts w:ascii="맑은 고딕" w:hAnsi="맑은 고딕" w:eastAsia="맑은 고딕"/>
          <w:b w:val="0"/>
          <w:sz w:val="21"/>
        </w:rPr>
        <w:t>2. 1주당 가격은 「갑」의 재무 추정치(당기순이익 × PER 35)를 기준으로 산정된 것으로, 미래 실적·시장 상황에 따라 실제 가치와 다를 수 있다.</w:t>
      </w:r>
    </w:p>
    <w:p>
      <w:pPr>
        <w:spacing w:after="60" w:line="300" w:lineRule="auto"/>
        <w:ind w:left="340"/>
      </w:pPr>
      <w:r>
        <w:rPr>
          <w:rFonts w:ascii="맑은 고딕" w:hAnsi="맑은 고딕" w:eastAsia="맑은 고딕"/>
          <w:b w:val="0"/>
          <w:sz w:val="21"/>
        </w:rPr>
        <w:t>3. 배정 한도·가격 등은 예시 기준이며, 실제 청약·인수 시 확정 공지된다.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제9조 (비밀유지)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양 당사자는 본 계약과 관련하여 취득한 상대방의 영업·기술·재무·개인정보 등 일체의 비밀정보를 상대방의 사전 서면 동의 없이 제3자에게 누설하거나 계약 목적 외로 사용하지 아니하며, 그 의무는 계약 종료 후 3년간 존속한다.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제10조 (개인정보의 보호)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양 당사자는 「개인정보 보호법」, 「신용정보의 이용 및 보호에 관한 법률」 등 관계 법령을 준수하며, 의료·건강정보의 처리 시 「의료법」 및 의료 마이데이터 관련 규정을 준수한다.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제11조 (계약기간 및 해지)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① 본 계약의 기간은 체결일로부터 3년으로 하며, 만료 1개월 전까지 별도 의사표시가 없으면 1년 단위로 자동 갱신된다.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② 일방이 본 계약상 의무를 중대하게 위반하고 상당한 기간을 정한 시정 최고에도 불응하는 경우 상대방은 계약을 해지할 수 있다.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제12조 (준거법 및 분쟁해결)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본 계약은 대한민국 법률에 따라 해석되며, 본 계약과 관련한 분쟁은 「갑」의 본점 소재지를 관할하는 법원을 제1심 관할 법원으로 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제13조 (기타)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본 계약에 정하지 아니한 사항은 관계 법령 및 상관례에 따르며, 필요 시 「갑」·「을」이 서면 합의로 정한다.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제0조 (계약의 성립)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  <w:t>본 계약의 성립을 증명하기 위하여 계약서 2부를 작성하고, 「갑」과 「을」이 각 조항을 확인한 후 서명 또는 기명날인하여 각 1부씩 보관한다.</w:t>
      </w:r>
    </w:p>
    <w:p>
      <w:pPr>
        <w:spacing w:after="60" w:line="300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280"/>
        <w:jc w:val="center"/>
      </w:pPr>
      <w:r>
        <w:rPr>
          <w:rFonts w:ascii="맑은 고딕" w:hAnsi="맑은 고딕" w:eastAsia="맑은 고딕"/>
          <w:b/>
          <w:sz w:val="22"/>
        </w:rPr>
        <w:t>20      년       월       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「갑」</w:t>
            </w:r>
          </w:p>
        </w:tc>
        <w:tc>
          <w:tcPr>
            <w:tcW w:type="dxa" w:w="4252"/>
          </w:tcPr>
          <w:p>
            <w:pPr>
              <w:spacing w:after="80"/>
            </w:pPr>
            <w:r/>
            <w:r>
              <w:rPr>
                <w:rFonts w:ascii="맑은 고딕" w:hAnsi="맑은 고딕" w:eastAsia="맑은 고딕"/>
                <w:sz w:val="20"/>
              </w:rPr>
              <w:t>상    호 :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sz w:val="20"/>
              </w:rPr>
              <w:t>사업자등록번호 :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sz w:val="20"/>
              </w:rPr>
              <w:t>주    소 :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sz w:val="20"/>
              </w:rPr>
              <w:t>대 표 자 :                    (인)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sz w:val="20"/>
              </w:rPr>
              <w:t>연 락 처 :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「을」</w:t>
            </w:r>
          </w:p>
        </w:tc>
        <w:tc>
          <w:tcPr>
            <w:tcW w:type="dxa" w:w="4252"/>
          </w:tcPr>
          <w:p>
            <w:pPr>
              <w:spacing w:after="80"/>
            </w:pPr>
            <w:r/>
            <w:r>
              <w:rPr>
                <w:rFonts w:ascii="맑은 고딕" w:hAnsi="맑은 고딕" w:eastAsia="맑은 고딕"/>
                <w:sz w:val="20"/>
              </w:rPr>
              <w:t>상    호 :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sz w:val="20"/>
              </w:rPr>
              <w:t>사업자등록번호 :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sz w:val="20"/>
              </w:rPr>
              <w:t>주    소 :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sz w:val="20"/>
              </w:rPr>
              <w:t>대 표 자 :                    (인)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sz w:val="20"/>
              </w:rPr>
              <w:t>연 락 처 :</w:t>
            </w:r>
          </w:p>
        </w:tc>
      </w:tr>
    </w:tbl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16345E"/>
          <w:sz w:val="24"/>
        </w:rPr>
        <w:t>[별지 제1호] 투자 신청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법인명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사업자등록번호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 유형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SI(전략적 투자자)   □ 일반 법인(FI)</w:t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SI 카테고리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건강식단   □ 영양제   □ 의료기기</w:t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희망 투자금액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희망 지분율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담당자 / 연락처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IR 자료 수신 이메일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fill="EEF2F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접수번호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 xml:space="preserve">IV-        -        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 w:ascii="맑은 고딕" w:hAnsi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맑은 고딕" w:ascii="맑은 고딕" w:hAnsi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