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3C112" w14:textId="77777777" w:rsidR="002E760B" w:rsidRPr="002E760B" w:rsidRDefault="002E760B" w:rsidP="002E760B">
      <w:r w:rsidRPr="002E760B">
        <w:t xml:space="preserve">Perovskite solar cells (PSCs) offer unique advantages for space-based energy harvesting, combining cost-effective manufacturing with flexible, high power-to-weight devices that can reduce payload mass in deployable structures. Despite this promise, few reports have demonstrated the viability of this technology in realistic, space-based scenarios, where they are subjected to large temperature variations and hard radiation. Here, we present a comprehensive analysis of PSC performance in low Earth orbit (LEO). The champion rigid cell exhibited relatively stable in-orbit performance at </w:t>
      </w:r>
      <w:r w:rsidRPr="002E760B">
        <w:rPr>
          <w:rFonts w:ascii="Cambria Math" w:hAnsi="Cambria Math" w:cs="Cambria Math"/>
        </w:rPr>
        <w:t>∼</w:t>
      </w:r>
      <w:r w:rsidRPr="002E760B">
        <w:t xml:space="preserve">80% of initial efficiency over a 44-day measurement interval that concluded nearly 100 days after launch, corresponding to </w:t>
      </w:r>
      <w:r w:rsidRPr="002E760B">
        <w:rPr>
          <w:rFonts w:ascii="Cambria Math" w:hAnsi="Cambria Math" w:cs="Cambria Math"/>
        </w:rPr>
        <w:t>∼</w:t>
      </w:r>
      <w:r w:rsidRPr="002E760B">
        <w:t xml:space="preserve">1600 orbital eclipse cycles and temperature ranges from </w:t>
      </w:r>
      <w:r w:rsidRPr="002E760B">
        <w:rPr>
          <w:rFonts w:ascii="Aptos" w:hAnsi="Aptos" w:cs="Aptos"/>
        </w:rPr>
        <w:t>−</w:t>
      </w:r>
      <w:r w:rsidRPr="002E760B">
        <w:t>25 to 35</w:t>
      </w:r>
      <w:r w:rsidRPr="002E760B">
        <w:rPr>
          <w:rFonts w:ascii="Aptos" w:hAnsi="Aptos" w:cs="Aptos"/>
        </w:rPr>
        <w:t>°</w:t>
      </w:r>
      <w:r w:rsidRPr="002E760B">
        <w:t xml:space="preserve">C. Mission data was systematically compared with laboratory measurements of rigid and ultrathin flexible PSCs across temperatures from </w:t>
      </w:r>
      <w:r w:rsidRPr="002E760B">
        <w:rPr>
          <w:rFonts w:ascii="Aptos" w:hAnsi="Aptos" w:cs="Aptos"/>
        </w:rPr>
        <w:t>−</w:t>
      </w:r>
      <w:r w:rsidRPr="002E760B">
        <w:t>80 to +80</w:t>
      </w:r>
      <w:r w:rsidRPr="002E760B">
        <w:rPr>
          <w:rFonts w:ascii="Aptos" w:hAnsi="Aptos" w:cs="Aptos"/>
        </w:rPr>
        <w:t>°</w:t>
      </w:r>
      <w:r w:rsidRPr="002E760B">
        <w:t>C and upon exposure to high-energy proton radiation. Flexible devices retained over 92% efficiency after a proton dose equivalent to 50 years in orbit. Despite this radiation tolerance, mitigating pre-flight environmental degradation remains a challenge for ultrathin substrates. Combined, this study bridges the gap between short suborbital demonstrations and long-term orbital performance, highlighting the potential of PSCs as a low-cost, resilient alternative for light harvesting, even in harsh space environments.</w:t>
      </w:r>
    </w:p>
    <w:p w14:paraId="38F3BBEF" w14:textId="0223C055" w:rsidR="00056BEA" w:rsidRDefault="002E760B">
      <w:hyperlink r:id="rId4" w:history="1">
        <w:r w:rsidRPr="002E760B">
          <w:rPr>
            <w:rStyle w:val="Hyperlink"/>
            <w:b/>
            <w:bCs/>
          </w:rPr>
          <w:t>https://doi.org/10.1002/adma.202520433</w:t>
        </w:r>
      </w:hyperlink>
    </w:p>
    <w:sectPr w:rsidR="00056BEA" w:rsidSect="00896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5C"/>
    <w:rsid w:val="00056BEA"/>
    <w:rsid w:val="002E760B"/>
    <w:rsid w:val="003E5BD9"/>
    <w:rsid w:val="007C635C"/>
    <w:rsid w:val="00896F1E"/>
    <w:rsid w:val="008F3F2A"/>
    <w:rsid w:val="00AB4BCD"/>
    <w:rsid w:val="00C126DF"/>
    <w:rsid w:val="00EE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D387F5-DEDD-4746-9A10-F5E1D461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3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6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5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8456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D8D9DA"/>
            <w:bottom w:val="none" w:sz="0" w:space="0" w:color="auto"/>
            <w:right w:val="none" w:sz="0" w:space="0" w:color="auto"/>
          </w:divBdr>
          <w:divsChild>
            <w:div w:id="16774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1463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D8D9DA"/>
            <w:bottom w:val="none" w:sz="0" w:space="0" w:color="auto"/>
            <w:right w:val="none" w:sz="0" w:space="0" w:color="auto"/>
          </w:divBdr>
          <w:divsChild>
            <w:div w:id="1097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002/adma.2025204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Sercan ÖZEN</dc:creator>
  <cp:keywords/>
  <dc:description/>
  <cp:lastModifiedBy>Sercan ÖZEN</cp:lastModifiedBy>
  <cp:revision>2</cp:revision>
  <dcterms:created xsi:type="dcterms:W3CDTF">2026-09-04T08:14:00Z</dcterms:created>
  <dcterms:modified xsi:type="dcterms:W3CDTF">2026-09-04T08:14:00Z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479c5b0f-f602-4312-a5d0-e05f5fff321f</vt:lpwstr>
  </property>
</Properties>
</file>