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A978A" w14:textId="77777777" w:rsidR="004F4E21" w:rsidRDefault="004F4E21">
      <w:r w:rsidRPr="004F4E21">
        <w:t xml:space="preserve">Bulky ammonium salt-based passivation is an effective strategy for enhancing the performance and stability of perovskite solar cells (PSCs). Especially, </w:t>
      </w:r>
      <w:proofErr w:type="spellStart"/>
      <w:r w:rsidRPr="004F4E21">
        <w:t>phenethylammonium</w:t>
      </w:r>
      <w:proofErr w:type="spellEnd"/>
      <w:r w:rsidRPr="004F4E21">
        <w:t xml:space="preserve"> iodide (PEAI) is known to greatly improve open-circuit voltage (</w:t>
      </w:r>
      <w:r w:rsidRPr="004F4E21">
        <w:rPr>
          <w:i/>
          <w:iCs/>
        </w:rPr>
        <w:t>V</w:t>
      </w:r>
      <w:r w:rsidRPr="004F4E21">
        <w:rPr>
          <w:vertAlign w:val="subscript"/>
        </w:rPr>
        <w:t>OC</w:t>
      </w:r>
      <w:r w:rsidRPr="004F4E21">
        <w:t>) and fill factor (FF). Despite these benefits, PEAI passivation leads to substantial short-circuit current density (</w:t>
      </w:r>
      <w:r w:rsidRPr="004F4E21">
        <w:rPr>
          <w:i/>
          <w:iCs/>
        </w:rPr>
        <w:t>J</w:t>
      </w:r>
      <w:r w:rsidRPr="004F4E21">
        <w:rPr>
          <w:vertAlign w:val="subscript"/>
        </w:rPr>
        <w:t>SC</w:t>
      </w:r>
      <w:r w:rsidRPr="004F4E21">
        <w:t>) losses and rapid degradation under operational conditions. In this work, it is revealed that the </w:t>
      </w:r>
      <w:r w:rsidRPr="004F4E21">
        <w:rPr>
          <w:i/>
          <w:iCs/>
        </w:rPr>
        <w:t>J</w:t>
      </w:r>
      <w:r w:rsidRPr="004F4E21">
        <w:rPr>
          <w:vertAlign w:val="subscript"/>
        </w:rPr>
        <w:t>SC</w:t>
      </w:r>
      <w:r w:rsidRPr="004F4E21">
        <w:t xml:space="preserve"> loss as well as the accelerated degradation in PEAI-passivated devices is caused by an increased mobile ion density. To mitigate this performance and stability-limiting mechanism, ultrathin layers of ammonium benzenesulfonate (ABS) and/or </w:t>
      </w:r>
      <w:proofErr w:type="spellStart"/>
      <w:r w:rsidRPr="004F4E21">
        <w:t>ethylenediammonium</w:t>
      </w:r>
      <w:proofErr w:type="spellEnd"/>
      <w:r w:rsidRPr="004F4E21">
        <w:t xml:space="preserve"> diiodide (EDAI</w:t>
      </w:r>
      <w:r w:rsidRPr="004F4E21">
        <w:rPr>
          <w:vertAlign w:val="subscript"/>
        </w:rPr>
        <w:t>2</w:t>
      </w:r>
      <w:r w:rsidRPr="004F4E21">
        <w:t>) salts are then introduced between the PEAI and the perovskite, which stabilize the 2D perovskite layer and impede diffusion even under upon prolonged illumination. This leads to a reduced mobile ion density both in fresh devices and in the long term, lowering losses </w:t>
      </w:r>
      <w:r w:rsidRPr="004F4E21">
        <w:rPr>
          <w:i/>
          <w:iCs/>
        </w:rPr>
        <w:t>J</w:t>
      </w:r>
      <w:r w:rsidRPr="004F4E21">
        <w:rPr>
          <w:vertAlign w:val="subscript"/>
        </w:rPr>
        <w:t>SC</w:t>
      </w:r>
      <w:r w:rsidRPr="004F4E21">
        <w:t>, and thus enables power conversion efficiencies of ≈25% with enhanced stability. Overall, this study not only addresses the limitations of PEAI-based 2D passivation but also paves the way for understanding 2D-induced ionic </w:t>
      </w:r>
      <w:r w:rsidRPr="004F4E21">
        <w:rPr>
          <w:i/>
          <w:iCs/>
        </w:rPr>
        <w:t>J</w:t>
      </w:r>
      <w:r w:rsidRPr="004F4E21">
        <w:rPr>
          <w:vertAlign w:val="subscript"/>
        </w:rPr>
        <w:t>SC</w:t>
      </w:r>
      <w:r w:rsidRPr="004F4E21">
        <w:t> losses.</w:t>
      </w:r>
    </w:p>
    <w:p w14:paraId="74394CCC" w14:textId="791E5CB7" w:rsidR="00830565" w:rsidRDefault="004F4E21" w:rsidP="004F4E21">
      <w:hyperlink r:id="rId4" w:history="1">
        <w:r w:rsidRPr="004F4E21">
          <w:rPr>
            <w:rStyle w:val="Hyperlink"/>
            <w:b/>
            <w:bCs/>
          </w:rPr>
          <w:t>https://doi.org/10.1002/adma.202501588</w:t>
        </w:r>
      </w:hyperlink>
    </w:p>
    <w:sectPr w:rsidR="00830565" w:rsidSect="00896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35C"/>
    <w:rsid w:val="00055BBF"/>
    <w:rsid w:val="00056BEA"/>
    <w:rsid w:val="002E760B"/>
    <w:rsid w:val="003E5BD9"/>
    <w:rsid w:val="004F4E21"/>
    <w:rsid w:val="007C635C"/>
    <w:rsid w:val="00830565"/>
    <w:rsid w:val="00896F1E"/>
    <w:rsid w:val="008F3F2A"/>
    <w:rsid w:val="00AB4BCD"/>
    <w:rsid w:val="00AD31BD"/>
    <w:rsid w:val="00C126DF"/>
    <w:rsid w:val="00EE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2460A"/>
  <w15:chartTrackingRefBased/>
  <w15:docId w15:val="{B5D387F5-DEDD-4746-9A10-F5E1D461A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3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76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6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5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68456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D8D9DA"/>
            <w:bottom w:val="none" w:sz="0" w:space="0" w:color="auto"/>
            <w:right w:val="none" w:sz="0" w:space="0" w:color="auto"/>
          </w:divBdr>
          <w:divsChild>
            <w:div w:id="16774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1463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D8D9DA"/>
            <w:bottom w:val="none" w:sz="0" w:space="0" w:color="auto"/>
            <w:right w:val="none" w:sz="0" w:space="0" w:color="auto"/>
          </w:divBdr>
          <w:divsChild>
            <w:div w:id="10970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1002/adma.2025015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Sercan ÖZEN</dc:creator>
  <cp:keywords/>
  <dc:description/>
  <cp:lastModifiedBy>Sercan ÖZEN</cp:lastModifiedBy>
  <cp:revision>6</cp:revision>
  <dcterms:created xsi:type="dcterms:W3CDTF">2026-09-04T08:14:00Z</dcterms:created>
  <dcterms:modified xsi:type="dcterms:W3CDTF">2026-09-04T08:25:00Z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479c5b0f-f602-4312-a5d0-e05f5fff321f</vt:lpwstr>
  </property>
</Properties>
</file>