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6833" w14:textId="77777777" w:rsidR="00AD31BD" w:rsidRDefault="00AD31BD">
      <w:r w:rsidRPr="00AD31BD">
        <w:t>All-perovskite tandem solar cells (2J-PSCs) reach the highest power-to-weight ratios, making them promising candidates for space applications. To determine their potential for future deep space missions, this study assesses the performance of 2J-PSCs under low-intensity and low-temperature (LILT) conditions, akin to those found near Saturn, the Asteroid belt, or in eclipse. Temperature-dependent current density-voltage (</w:t>
      </w:r>
      <w:r w:rsidRPr="00AD31BD">
        <w:rPr>
          <w:i/>
          <w:iCs/>
        </w:rPr>
        <w:t>J</w:t>
      </w:r>
      <w:r w:rsidRPr="00AD31BD">
        <w:t>–</w:t>
      </w:r>
      <w:r w:rsidRPr="00AD31BD">
        <w:rPr>
          <w:i/>
          <w:iCs/>
        </w:rPr>
        <w:t>V</w:t>
      </w:r>
      <w:r w:rsidRPr="00AD31BD">
        <w:t>) measurements under varying solar intensities (AM0, 0.1 AM0, 0.01 AM0) reveal that the 2J-PSCs, comprising 1.80 eV high-bandgap and 1.27 eV low-bandgap perovskites, exhibit significant efficiency losses at lower temperatures and low light levels. In contrast, 1.54 eV single-junction PSCs (1J-PSCs) exhibit resilient performance, maintaining or even increasing their power conversion efficiency at low temperatures. The main performance problem of the 2J-PSCs is then identified as a demixing of the 1.80 eV perovskite due to its high Br ratio at temperatures below 250 K. This demixing at low temperatures leads to a significant increase in ion-induced performance losses as well as current imbalances between the two subcells in the monolithic tandem. Together, this causes severe S-shapes in solar cell operation and impedes the operation of the monolithic interconnected tandem solar cells. Notably, these limitations vanish upon heating, leading to a recovery of performance.</w:t>
      </w:r>
    </w:p>
    <w:p w14:paraId="59209622" w14:textId="22FB6322" w:rsidR="00AD31BD" w:rsidRDefault="00830565">
      <w:hyperlink r:id="rId4" w:history="1">
        <w:r w:rsidRPr="00234F9E">
          <w:rPr>
            <w:rStyle w:val="Hyperlink"/>
          </w:rPr>
          <w:t>https://doi.org/10.1002/adma.202517703</w:t>
        </w:r>
      </w:hyperlink>
    </w:p>
    <w:p w14:paraId="74394CCC" w14:textId="77777777" w:rsidR="00830565" w:rsidRDefault="00830565"/>
    <w:sectPr w:rsidR="00830565" w:rsidSect="0089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5C"/>
    <w:rsid w:val="00056BEA"/>
    <w:rsid w:val="002E760B"/>
    <w:rsid w:val="003E5BD9"/>
    <w:rsid w:val="007C635C"/>
    <w:rsid w:val="00830565"/>
    <w:rsid w:val="00896F1E"/>
    <w:rsid w:val="008F3F2A"/>
    <w:rsid w:val="00AB4BCD"/>
    <w:rsid w:val="00AD31BD"/>
    <w:rsid w:val="00C126DF"/>
    <w:rsid w:val="00EE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460A"/>
  <w15:chartTrackingRefBased/>
  <w15:docId w15:val="{B5D387F5-DEDD-4746-9A10-F5E1D461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5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845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677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146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09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02/adma.2025177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Sercan ÖZEN</dc:creator>
  <cp:keywords/>
  <dc:description/>
  <cp:lastModifiedBy>Sercan ÖZEN</cp:lastModifiedBy>
  <cp:revision>4</cp:revision>
  <dcterms:created xsi:type="dcterms:W3CDTF">2026-09-04T08:14:00Z</dcterms:created>
  <dcterms:modified xsi:type="dcterms:W3CDTF">2026-09-04T08:16:00Z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479c5b0f-f602-4312-a5d0-e05f5fff321f</vt:lpwstr>
  </property>
</Properties>
</file>