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7985" w14:textId="77777777" w:rsidR="00421DBE" w:rsidRDefault="00421DBE">
      <w:r w:rsidRPr="00421DBE">
        <w:t xml:space="preserve">Combining high efficiency with good radiation tolerance, perovskite solar cells (PSCs) are promising candidates to upend expanding space photovoltaic (PV) technologies. Successful employment in a Near-Earth space environment, however, requires high resistance against atomic oxygen (AtOx). This work unravels AtOx-induced degradation mechanisms of PSCs with and without </w:t>
      </w:r>
      <w:proofErr w:type="spellStart"/>
      <w:r w:rsidRPr="00421DBE">
        <w:t>phenethylammonium</w:t>
      </w:r>
      <w:proofErr w:type="spellEnd"/>
      <w:r w:rsidRPr="00421DBE">
        <w:t xml:space="preserve"> iodide (PEAI) based 2D-passivation and investigates the applicability of ultrathin silicon oxide (</w:t>
      </w:r>
      <w:proofErr w:type="spellStart"/>
      <w:r w:rsidRPr="00421DBE">
        <w:t>SiO</w:t>
      </w:r>
      <w:proofErr w:type="spellEnd"/>
      <w:r w:rsidRPr="00421DBE">
        <w:t xml:space="preserve">) encapsulation as AtOx barrier. AtOx exposure for 2 h degraded the average power conversion efficiency (PCE) of devices without barrier encapsulation by 40% and 43% (w/o and with 2D-PEAI-passivation) of their initial PCE. In contrast, devices with a </w:t>
      </w:r>
      <w:proofErr w:type="spellStart"/>
      <w:r w:rsidRPr="00421DBE">
        <w:t>SiO</w:t>
      </w:r>
      <w:proofErr w:type="spellEnd"/>
      <w:r w:rsidRPr="00421DBE">
        <w:t xml:space="preserve">-barrier retained over 97% of initial PCE. To understand why 2D-PEAI passivated devices degrade faster than less efficient non-passivated devices, various opto-electrical and structural </w:t>
      </w:r>
      <w:proofErr w:type="spellStart"/>
      <w:r w:rsidRPr="00421DBE">
        <w:t>characterications</w:t>
      </w:r>
      <w:proofErr w:type="spellEnd"/>
      <w:r w:rsidRPr="00421DBE">
        <w:t xml:space="preserve"> are conducted. Together, these allowed to decouple different damage mechanisms. Notably, pseudo-</w:t>
      </w:r>
      <w:r w:rsidRPr="00421DBE">
        <w:rPr>
          <w:i/>
          <w:iCs/>
        </w:rPr>
        <w:t>J–V</w:t>
      </w:r>
      <w:r w:rsidRPr="00421DBE">
        <w:t> curves reveal unchanged high implied fill factors (pFF) of 86.4% and 86.2% in non-passivated and passivated devices, suggesting that degradation of the perovskite absorber itself is not dominating. Instead, inefficient charge extraction and mobile ions, due to a swiftly degrading PEAI interlayer are the primary causes of AtOx-induced device performance degradation in passivated devices, whereas a large ionic FF loss limits non-passivated devices.</w:t>
      </w:r>
    </w:p>
    <w:p w14:paraId="74394CCC" w14:textId="1D66C99A" w:rsidR="00830565" w:rsidRDefault="00421DBE" w:rsidP="00421DBE">
      <w:hyperlink r:id="rId4" w:history="1">
        <w:r w:rsidRPr="00421DBE">
          <w:rPr>
            <w:rStyle w:val="Hyperlink"/>
            <w:b/>
            <w:bCs/>
          </w:rPr>
          <w:t>https://doi.org/10.1002/smll.202311097</w:t>
        </w:r>
      </w:hyperlink>
    </w:p>
    <w:sectPr w:rsidR="00830565" w:rsidSect="0089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C"/>
    <w:rsid w:val="00055BBF"/>
    <w:rsid w:val="00056BEA"/>
    <w:rsid w:val="002E760B"/>
    <w:rsid w:val="003E5BD9"/>
    <w:rsid w:val="00421DBE"/>
    <w:rsid w:val="007C635C"/>
    <w:rsid w:val="00830565"/>
    <w:rsid w:val="00896F1E"/>
    <w:rsid w:val="008F3F2A"/>
    <w:rsid w:val="00AB4BCD"/>
    <w:rsid w:val="00AD31BD"/>
    <w:rsid w:val="00C126DF"/>
    <w:rsid w:val="00E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460A"/>
  <w15:chartTrackingRefBased/>
  <w15:docId w15:val="{B5D387F5-DEDD-4746-9A10-F5E1D461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5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677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4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09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2/smll.2023110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 ÖZEN</dc:creator>
  <cp:keywords/>
  <dc:description/>
  <cp:lastModifiedBy>Sercan ÖZEN</cp:lastModifiedBy>
  <cp:revision>6</cp:revision>
  <dcterms:created xsi:type="dcterms:W3CDTF">2026-09-04T08:14:00Z</dcterms:created>
  <dcterms:modified xsi:type="dcterms:W3CDTF">2026-09-04T08:23:00Z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479c5b0f-f602-4312-a5d0-e05f5fff321f</vt:lpwstr>
  </property>
</Properties>
</file>