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BDA9E" w14:textId="77777777" w:rsidR="00055BBF" w:rsidRDefault="00055BBF">
      <w:r w:rsidRPr="00055BBF">
        <w:t>While perovskite-organic tandem solar cells have gained significant attention for their potential to achieve high efficiencies and stability, a somewhat similar class of devices, termed “integrated” solar cells, has emerged. These devices differ by processing the bulk-heterojunction directly atop the perovskite without intermediate charge transport or interconnecting layers. Numerous reports continue to highlight increasing efficiencies, while the underlying mechanisms are often misunderstood. As a result, there are persistent claims that such integrated cells benefit from the extension of the spectral absorption or might even offer a pathway to surpass the detailed-balance limit of single-junctions. To evaluate their photovoltaic potential, here, we provide the first comprehensive explanation of the operation principle of these integrated perovskite-organic cells. Unlike tandem devices, which are connected in series through an interconnect, integrated cells are a parallel connection of the subcells, where the organic subcell comprises a charge extraction barrier. Our model accurately reproduces device characteristics from both our lab and the literature. Validation through subcell-selective characterization and drift-diffusion simulations confirms its applicability. We reveal that the hole extraction barrier in the organic subcell cannot be overcome without compromising the overall device performance. Integrated devices are, therefore, single-junction devices that cannot rival tandem devices in surpassing the detailed-balance limit.</w:t>
      </w:r>
    </w:p>
    <w:p w14:paraId="74394CCC" w14:textId="6365DF17" w:rsidR="00830565" w:rsidRDefault="00055BBF">
      <w:hyperlink r:id="rId4" w:tgtFrame="_blank" w:history="1">
        <w:r w:rsidRPr="00055BBF">
          <w:rPr>
            <w:rStyle w:val="Hyperlink"/>
          </w:rPr>
          <w:t>https://doi.org/10.1021/acsenergylett.5c00823</w:t>
        </w:r>
      </w:hyperlink>
    </w:p>
    <w:sectPr w:rsidR="00830565" w:rsidSect="0089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5C"/>
    <w:rsid w:val="00055BBF"/>
    <w:rsid w:val="00056BEA"/>
    <w:rsid w:val="002E760B"/>
    <w:rsid w:val="003E5BD9"/>
    <w:rsid w:val="007C635C"/>
    <w:rsid w:val="00830565"/>
    <w:rsid w:val="00896F1E"/>
    <w:rsid w:val="008F3F2A"/>
    <w:rsid w:val="00AB4BCD"/>
    <w:rsid w:val="00AD31BD"/>
    <w:rsid w:val="00C126DF"/>
    <w:rsid w:val="00E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460A"/>
  <w15:chartTrackingRefBased/>
  <w15:docId w15:val="{B5D387F5-DEDD-4746-9A10-F5E1D461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845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677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46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09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21/acsenergylett.5c008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Sercan ÖZEN</dc:creator>
  <cp:keywords/>
  <dc:description/>
  <cp:lastModifiedBy>Sercan ÖZEN</cp:lastModifiedBy>
  <cp:revision>5</cp:revision>
  <dcterms:created xsi:type="dcterms:W3CDTF">2026-09-04T08:14:00Z</dcterms:created>
  <dcterms:modified xsi:type="dcterms:W3CDTF">2026-09-04T08:19:00Z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479c5b0f-f602-4312-a5d0-e05f5fff321f</vt:lpwstr>
  </property>
</Properties>
</file>