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VITA</w:t>
      </w:r>
    </w:p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2014</w:t>
        <w:tab/>
        <w:tab/>
        <w:t xml:space="preserve">Bachelor of Science, Clemson University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2017</w:t>
        <w:tab/>
        <w:tab/>
        <w:t xml:space="preserve">Data science intern, Crime Lab New York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2018</w:t>
        <w:tab/>
        <w:tab/>
        <w:t xml:space="preserve">Doctor of Philosophy, University of California San Diego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2019</w:t>
        <w:tab/>
        <w:tab/>
        <w:t xml:space="preserve">Fellow, Insight Data Science - Silicon Valley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0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Cole SR, Voytek B. (2018) Hippocampal theta bursting and waveform shape reflect CA1 spiking patterns. </w:t>
      </w:r>
      <w:r w:rsidDel="00000000" w:rsidR="00000000" w:rsidRPr="00000000">
        <w:rPr>
          <w:i w:val="1"/>
          <w:rtl w:val="0"/>
        </w:rPr>
        <w:t xml:space="preserve">bioRxiv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Cole SR, Voytek B. (2018) Cycle by cycle analysis of neural oscillations. </w:t>
      </w:r>
      <w:r w:rsidDel="00000000" w:rsidR="00000000" w:rsidRPr="00000000">
        <w:rPr>
          <w:i w:val="1"/>
          <w:rtl w:val="0"/>
        </w:rPr>
        <w:t xml:space="preserve">bioRxiv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spacing w:line="21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16" w:lineRule="auto"/>
        <w:ind w:left="0" w:firstLine="0"/>
        <w:rPr/>
      </w:pPr>
      <w:r w:rsidDel="00000000" w:rsidR="00000000" w:rsidRPr="00000000">
        <w:rPr>
          <w:rtl w:val="0"/>
        </w:rPr>
        <w:t xml:space="preserve">Cole SR, van der Meij R, Peterson EJ, de Hemptinne C, Starr P, Voytek B. (2017) Nonsinusoidal oscillations underlie pathological phase-amplitude coupling in the motor cortex in Parkinson’s disease.</w:t>
      </w:r>
      <w:r w:rsidDel="00000000" w:rsidR="00000000" w:rsidRPr="00000000">
        <w:rPr>
          <w:i w:val="1"/>
          <w:rtl w:val="0"/>
        </w:rPr>
        <w:t xml:space="preserve"> Journal of Neuroscience, 37</w:t>
      </w:r>
      <w:r w:rsidDel="00000000" w:rsidR="00000000" w:rsidRPr="00000000">
        <w:rPr>
          <w:rtl w:val="0"/>
        </w:rPr>
        <w:t xml:space="preserve">(18) 4830-4840.</w:t>
      </w:r>
    </w:p>
    <w:p w:rsidR="00000000" w:rsidDel="00000000" w:rsidP="00000000" w:rsidRDefault="00000000" w:rsidRPr="00000000" w14:paraId="0000000C">
      <w:pPr>
        <w:widowControl w:val="0"/>
        <w:spacing w:line="21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16" w:lineRule="auto"/>
        <w:ind w:left="0" w:firstLine="0"/>
        <w:rPr/>
      </w:pPr>
      <w:r w:rsidDel="00000000" w:rsidR="00000000" w:rsidRPr="00000000">
        <w:rPr>
          <w:rtl w:val="0"/>
        </w:rPr>
        <w:t xml:space="preserve">Cole SR, Voytek B. (2017) Brain oscillations and the importance of waveform shape.</w:t>
      </w:r>
      <w:r w:rsidDel="00000000" w:rsidR="00000000" w:rsidRPr="00000000">
        <w:rPr>
          <w:i w:val="1"/>
          <w:rtl w:val="0"/>
        </w:rPr>
        <w:t xml:space="preserve"> Trends in Cognitive Sciences, 21</w:t>
      </w:r>
      <w:r w:rsidDel="00000000" w:rsidR="00000000" w:rsidRPr="00000000">
        <w:rPr>
          <w:rtl w:val="0"/>
        </w:rPr>
        <w:t xml:space="preserve">(2), 137-149.</w:t>
      </w:r>
    </w:p>
    <w:p w:rsidR="00000000" w:rsidDel="00000000" w:rsidP="00000000" w:rsidRDefault="00000000" w:rsidRPr="00000000" w14:paraId="0000000E">
      <w:pPr>
        <w:widowControl w:val="0"/>
        <w:spacing w:line="21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16" w:lineRule="auto"/>
        <w:ind w:left="0" w:firstLine="0"/>
        <w:rPr/>
      </w:pPr>
      <w:r w:rsidDel="00000000" w:rsidR="00000000" w:rsidRPr="00000000">
        <w:rPr>
          <w:rtl w:val="0"/>
        </w:rPr>
        <w:t xml:space="preserve">Mohammed FS, Cole SR, Kitchens CL. (2013) Synthesis and Enhanced Colloidal Stability of Cationic Gold Nanoparticles using Polyethyleneimine and Carbon Dioxide. </w:t>
      </w:r>
      <w:r w:rsidDel="00000000" w:rsidR="00000000" w:rsidRPr="00000000">
        <w:rPr>
          <w:i w:val="1"/>
          <w:rtl w:val="0"/>
        </w:rPr>
        <w:t xml:space="preserve">ACS Sustainable Chem. Eng.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(7), 826-832.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  <w:t xml:space="preserve">xi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