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</w:p>
    <w:p>
      <w:pPr>
        <w:jc w:val="center"/>
      </w:pPr>
      <w:r>
        <w:rPr>
          <w:rFonts w:ascii="Arial" w:cs="Arial" w:eastAsia="Arial" w:hAnsi="Arial"/>
          <w:b/>
          <w:bCs/>
          <w:color w:val="1F4E78"/>
          <w:sz w:val="64"/>
          <w:szCs w:val="64"/>
        </w:rPr>
        <w:t xml:space="preserve">MarketIQ · Agency Performance Report</w:t>
      </w:r>
    </w:p>
    <w:p>
      <w:pPr>
        <w:spacing w:before="200"/>
      </w:pPr>
    </w:p>
    <w:p>
      <w:pPr>
        <w:jc w:val="center"/>
      </w:pPr>
      <w:r>
        <w:rPr>
          <w:rFonts w:ascii="Arial" w:cs="Arial" w:eastAsia="Arial" w:hAnsi="Arial"/>
          <w:b/>
          <w:bCs/>
          <w:color w:val="333333"/>
          <w:sz w:val="36"/>
          <w:szCs w:val="36"/>
        </w:rPr>
        <w:t xml:space="preserve">Performance Report — May 2026</w:t>
      </w:r>
    </w:p>
    <w:p>
      <w:pPr>
        <w:spacing w:before="200"/>
      </w:pPr>
    </w:p>
    <w:p>
      <w:pPr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Generated by MarketIQ · Venpep</w:t>
      </w:r>
    </w:p>
    <w:p>
      <w:pPr>
        <w:spacing w:before="100"/>
      </w:pPr>
    </w:p>
    <w:p>
      <w:pPr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Date Generated: 5 June 2026</w:t>
      </w:r>
    </w:p>
    <w:p>
      <w:pPr>
        <w:spacing w:before="1200"/>
      </w:pPr>
    </w:p>
    <w:p>
      <w:pPr>
        <w:jc w:val="center"/>
      </w:pPr>
      <w:r>
        <w:rPr>
          <w:rFonts w:ascii="Arial" w:cs="Arial" w:eastAsia="Arial" w:hAnsi="Arial"/>
          <w:i/>
          <w:iCs/>
          <w:color w:val="999999"/>
          <w:sz w:val="16"/>
          <w:szCs w:val="16"/>
        </w:rPr>
        <w:t xml:space="preserve">Confidential Report for Authorized Recipients Only</w:t>
      </w:r>
    </w:p>
    <w:p>
      <w:pPr>
        <w:pageBreakBefore/>
        <w:spacing w:after="150" w:before="200"/>
      </w:pPr>
      <w:r>
        <w:t xml:space="preserve">Section 1 — Executive Summary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Below is a consolidated summary of key performance indicators (KPIs) over the last 30 days, evaluated alongside their vs last month trend metrics.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40%"/>
            <w:shd w:fill="1F4E78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Metric Name</w:t>
            </w:r>
          </w:p>
        </w:tc>
        <w:tc>
          <w:tcPr>
            <w:tcW w:type="pct" w:w="30%"/>
            <w:shd w:fill="1F4E78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pct" w:w="30%"/>
            <w:shd w:fill="1F4E78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vs Last Month Trend</w:t>
            </w:r>
          </w:p>
        </w:tc>
      </w:tr>
      <w:tr>
        <w:tc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Total Spend</w:t>
            </w:r>
          </w:p>
        </w:tc>
        <w:tc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₹2,12,418</w:t>
            </w:r>
          </w:p>
        </w:tc>
        <w:tc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0"/>
                <w:szCs w:val="20"/>
              </w:rPr>
              <w:t xml:space="preserve">+926.3%</w:t>
            </w:r>
          </w:p>
        </w:tc>
      </w:tr>
      <w:tr>
        <w:tc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Avg CPC</w:t>
            </w:r>
          </w:p>
        </w:tc>
        <w:tc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₹1.43</w:t>
            </w:r>
          </w:p>
        </w:tc>
        <w:tc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0"/>
                <w:szCs w:val="20"/>
              </w:rPr>
              <w:t xml:space="preserve">-74.9%</w:t>
            </w:r>
          </w:p>
        </w:tc>
      </w:tr>
      <w:tr>
        <w:tc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Total Conversions</w:t>
            </w:r>
          </w:p>
        </w:tc>
        <w:tc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9,008</w:t>
            </w:r>
          </w:p>
        </w:tc>
        <w:tc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0"/>
                <w:szCs w:val="20"/>
              </w:rPr>
              <w:t xml:space="preserve">+7283.6%</w:t>
            </w:r>
          </w:p>
        </w:tc>
      </w:tr>
      <w:tr>
        <w:tc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Blended ROAS</w:t>
            </w:r>
          </w:p>
        </w:tc>
        <w:tc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0.00x</w:t>
            </w:r>
          </w:p>
        </w:tc>
        <w:tc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0"/>
                <w:szCs w:val="20"/>
              </w:rPr>
              <w:t xml:space="preserve">+0.0%</w:t>
            </w:r>
          </w:p>
        </w:tc>
      </w:tr>
    </w:tbl>
    <w:p>
      <w:pPr>
        <w:pageBreakBefore/>
        <w:spacing w:after="150" w:before="200"/>
      </w:pPr>
      <w:r>
        <w:t xml:space="preserve">Section 2 — Platform Breakdown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Aggregated analytics breakdown sorted dynamically by platform networks to compare click volume, spend pacing, and conversion yield efficiency.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shd w:fill="1F4E78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shd w:fill="1F4E78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Spend</w:t>
            </w:r>
          </w:p>
        </w:tc>
        <w:tc>
          <w:tcPr>
            <w:shd w:fill="1F4E78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Clicks</w:t>
            </w:r>
          </w:p>
        </w:tc>
        <w:tc>
          <w:tcPr>
            <w:shd w:fill="1F4E78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Impressions</w:t>
            </w:r>
          </w:p>
        </w:tc>
        <w:tc>
          <w:tcPr>
            <w:shd w:fill="1F4E78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CTR</w:t>
            </w:r>
          </w:p>
        </w:tc>
        <w:tc>
          <w:tcPr>
            <w:shd w:fill="1F4E78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CPC</w:t>
            </w:r>
          </w:p>
        </w:tc>
        <w:tc>
          <w:tcPr>
            <w:shd w:fill="1F4E78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Conversions</w:t>
            </w:r>
          </w:p>
        </w:tc>
      </w:tr>
      <w:tr>
        <w:tc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meta</w:t>
            </w:r>
          </w:p>
        </w:tc>
        <w:tc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₹41,418</w:t>
            </w:r>
          </w:p>
        </w:tc>
        <w:tc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10,070</w:t>
            </w:r>
          </w:p>
        </w:tc>
        <w:tc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10,27,679</w:t>
            </w:r>
          </w:p>
        </w:tc>
        <w:tc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0.98%</w:t>
            </w:r>
          </w:p>
        </w:tc>
        <w:tc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₹4.11</w:t>
            </w:r>
          </w:p>
        </w:tc>
        <w:tc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228</w:t>
            </w:r>
          </w:p>
        </w:tc>
      </w:tr>
      <w:tr>
        <w:tc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Google Ads</w:t>
            </w:r>
          </w:p>
        </w:tc>
        <w:tc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₹1,71,000</w:t>
            </w:r>
          </w:p>
        </w:tc>
        <w:tc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1,38,000</w:t>
            </w:r>
          </w:p>
        </w:tc>
        <w:tc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21,80,000</w:t>
            </w:r>
          </w:p>
        </w:tc>
        <w:tc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6.33%</w:t>
            </w:r>
          </w:p>
        </w:tc>
        <w:tc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₹1.24</w:t>
            </w:r>
          </w:p>
        </w:tc>
        <w:tc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8,780</w:t>
            </w:r>
          </w:p>
        </w:tc>
      </w:tr>
    </w:tbl>
    <w:p>
      <w:pPr>
        <w:pageBreakBefore/>
        <w:spacing w:after="150" w:before="200"/>
      </w:pPr>
      <w:r>
        <w:t xml:space="preserve">Section 3 — Top 5 Campaigns by Spend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Detailed performance audit of the top five campaigns aggregated by total budget utilization in the current 30-day window.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35%"/>
            <w:shd w:fill="1F4E78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Campaign Name</w:t>
            </w:r>
          </w:p>
        </w:tc>
        <w:tc>
          <w:tcPr>
            <w:tcW w:type="pct" w:w="15%"/>
            <w:shd w:fill="1F4E78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Spend</w:t>
            </w:r>
          </w:p>
        </w:tc>
        <w:tc>
          <w:tcPr>
            <w:tcW w:type="pct" w:w="13%"/>
            <w:shd w:fill="1F4E78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CPC</w:t>
            </w:r>
          </w:p>
        </w:tc>
        <w:tc>
          <w:tcPr>
            <w:tcW w:type="pct" w:w="12%"/>
            <w:shd w:fill="1F4E78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CTR</w:t>
            </w:r>
          </w:p>
        </w:tc>
        <w:tc>
          <w:tcPr>
            <w:tcW w:type="pct" w:w="13%"/>
            <w:shd w:fill="1F4E78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Conversions</w:t>
            </w:r>
          </w:p>
        </w:tc>
        <w:tc>
          <w:tcPr>
            <w:tcW w:type="pct" w:w="12%"/>
            <w:shd w:fill="1F4E78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Tata Nexon EV - Google PMax electro</w:t>
            </w:r>
          </w:p>
        </w:tc>
        <w:tc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₹48,000</w:t>
            </w:r>
          </w:p>
        </w:tc>
        <w:tc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₹1.41</w:t>
            </w:r>
          </w:p>
        </w:tc>
        <w:tc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5.50%</w:t>
            </w:r>
          </w:p>
        </w:tc>
        <w:tc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2,180</w:t>
            </w:r>
          </w:p>
        </w:tc>
        <w:tc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D32"/>
                <w:sz w:val="20"/>
                <w:szCs w:val="20"/>
              </w:rPr>
              <w:t xml:space="preserve">active</w:t>
            </w:r>
          </w:p>
        </w:tc>
      </w:tr>
      <w:tr>
        <w:tc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Mahindra XUV700 - Google Search Brand</w:t>
            </w:r>
          </w:p>
        </w:tc>
        <w:tc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₹42,000</w:t>
            </w:r>
          </w:p>
        </w:tc>
        <w:tc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₹1.09</w:t>
            </w:r>
          </w:p>
        </w:tc>
        <w:tc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8.00%</w:t>
            </w:r>
          </w:p>
        </w:tc>
        <w:tc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2,450</w:t>
            </w:r>
          </w:p>
        </w:tc>
        <w:tc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D32"/>
                <w:sz w:val="20"/>
                <w:szCs w:val="20"/>
              </w:rPr>
              <w:t xml:space="preserve">active</w:t>
            </w:r>
          </w:p>
        </w:tc>
      </w:tr>
      <w:tr>
        <w:tc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Mahindra Thar - Google Performance Max</w:t>
            </w:r>
          </w:p>
        </w:tc>
        <w:tc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₹38,000</w:t>
            </w:r>
          </w:p>
        </w:tc>
        <w:tc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₹1.73</w:t>
            </w:r>
          </w:p>
        </w:tc>
        <w:tc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4.00%</w:t>
            </w:r>
          </w:p>
        </w:tc>
        <w:tc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1,840</w:t>
            </w:r>
          </w:p>
        </w:tc>
        <w:tc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D32"/>
                <w:sz w:val="20"/>
                <w:szCs w:val="20"/>
              </w:rPr>
              <w:t xml:space="preserve">active</w:t>
            </w:r>
          </w:p>
        </w:tc>
      </w:tr>
      <w:tr>
        <w:tc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SBI Cashback Card - Search high-intent</w:t>
            </w:r>
          </w:p>
        </w:tc>
        <w:tc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₹25,000</w:t>
            </w:r>
          </w:p>
        </w:tc>
        <w:tc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₹0.87</w:t>
            </w:r>
          </w:p>
        </w:tc>
        <w:tc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9.00%</w:t>
            </w:r>
          </w:p>
        </w:tc>
        <w:tc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1,420</w:t>
            </w:r>
          </w:p>
        </w:tc>
        <w:tc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D32"/>
                <w:sz w:val="20"/>
                <w:szCs w:val="20"/>
              </w:rPr>
              <w:t xml:space="preserve">active</w:t>
            </w:r>
          </w:p>
        </w:tc>
      </w:tr>
      <w:tr>
        <w:tc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Zoomcar Rentals - Google Search Weekend</w:t>
            </w:r>
          </w:p>
        </w:tc>
        <w:tc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₹18,000</w:t>
            </w:r>
          </w:p>
        </w:tc>
        <w:tc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₹1.22</w:t>
            </w:r>
          </w:p>
        </w:tc>
        <w:tc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7.00%</w:t>
            </w:r>
          </w:p>
        </w:tc>
        <w:tc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890</w:t>
            </w:r>
          </w:p>
        </w:tc>
        <w:tc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D32"/>
                <w:sz w:val="20"/>
                <w:szCs w:val="20"/>
              </w:rPr>
              <w:t xml:space="preserve">active</w:t>
            </w:r>
          </w:p>
        </w:tc>
      </w:tr>
    </w:tbl>
    <w:p>
      <w:pPr>
        <w:pageBreakBefore/>
        <w:spacing w:after="150" w:before="200"/>
      </w:pPr>
      <w:r>
        <w:t xml:space="preserve">Section 4 — Campaigns Needing Attention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This section isolates campaigns spending budget inefficiently without delivering active lead conversions (spend threshold exceeding ₹1,000 with 0 conversions).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30%"/>
            <w:shd w:fill="1F4E78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Campaign Name</w:t>
            </w:r>
          </w:p>
        </w:tc>
        <w:tc>
          <w:tcPr>
            <w:tcW w:type="pct" w:w="15%"/>
            <w:shd w:fill="1F4E78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Spend</w:t>
            </w:r>
          </w:p>
        </w:tc>
        <w:tc>
          <w:tcPr>
            <w:tcW w:type="pct" w:w="25%"/>
            <w:shd w:fill="1F4E78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pct" w:w="30%"/>
            <w:shd w:fill="1F4E78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Recommended Action</w:t>
            </w:r>
          </w:p>
        </w:tc>
      </w:tr>
      <w:tr>
        <w:tc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CAI_Branding _Awareness_ May26_MEG</w:t>
            </w:r>
          </w:p>
        </w:tc>
        <w:tc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₹6,407</w:t>
            </w:r>
          </w:p>
        </w:tc>
        <w:tc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62828"/>
                <w:sz w:val="20"/>
                <w:szCs w:val="20"/>
              </w:rPr>
              <w:t xml:space="preserve">Zero conversion campaign with spend &gt; ₹1,000</w:t>
            </w:r>
          </w:p>
        </w:tc>
        <w:tc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0"/>
                <w:szCs w:val="20"/>
              </w:rPr>
              <w:t xml:space="preserve">Pause campaign immediately to stop budget bleed, and refresh creative assets or landing page copy.</w:t>
            </w:r>
          </w:p>
        </w:tc>
      </w:tr>
    </w:tbl>
    <w:p>
      <w:pPr>
        <w:pageBreakBefore/>
        <w:spacing w:after="150" w:before="200"/>
      </w:pPr>
      <w:r>
        <w:t xml:space="preserve">Section 5 — AI Strategy Recommendations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Groq-powered analytical recommendations tailored precisely to scale budget performance, improve CPL returns, and avoid creative fatigue.</w:t>
      </w:r>
    </w:p>
    <w:p>
      <w:pPr>
        <w:pStyle w:val="ListParagraph"/>
        <w:numPr>
          <w:ilvl w:val="0"/>
          <w:numId w:val="1"/>
        </w:numPr>
        <w:spacing w:after="120" w:before="60"/>
      </w:pPr>
      <w:r>
        <w:rPr>
          <w:rFonts w:ascii="Arial" w:cs="Arial" w:eastAsia="Arial" w:hAnsi="Arial"/>
          <w:sz w:val="22"/>
          <w:szCs w:val="22"/>
        </w:rPr>
        <w:t xml:space="preserve">Scale budget allocation for high-performing Meta lead campaigns to capitalize on the lower blended CPC.</w:t>
      </w:r>
    </w:p>
    <w:p>
      <w:pPr>
        <w:pStyle w:val="ListParagraph"/>
        <w:numPr>
          <w:ilvl w:val="0"/>
          <w:numId w:val="1"/>
        </w:numPr>
        <w:spacing w:after="120" w:before="60"/>
      </w:pPr>
      <w:r>
        <w:rPr>
          <w:rFonts w:ascii="Arial" w:cs="Arial" w:eastAsia="Arial" w:hAnsi="Arial"/>
          <w:sz w:val="22"/>
          <w:szCs w:val="22"/>
        </w:rPr>
        <w:t xml:space="preserve">Audit visual and copy fatigue for creative elements on campaigns exceeding a frequency of 3.0.</w:t>
      </w:r>
    </w:p>
    <w:p>
      <w:pPr>
        <w:pStyle w:val="ListParagraph"/>
        <w:numPr>
          <w:ilvl w:val="0"/>
          <w:numId w:val="1"/>
        </w:numPr>
        <w:spacing w:after="120" w:before="60"/>
      </w:pPr>
      <w:r>
        <w:rPr>
          <w:rFonts w:ascii="Arial" w:cs="Arial" w:eastAsia="Arial" w:hAnsi="Arial"/>
          <w:sz w:val="22"/>
          <w:szCs w:val="22"/>
        </w:rPr>
        <w:t xml:space="preserve">Re-engage low converting channels with retargeting custom audiences or refresh landing page layouts.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MarketIQ by Venpep  |  Confidential  |  Tenant: AGENCY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2026-06-05T04:23:06.221Z</dcterms:created>
  <dcterms:modified xsi:type="dcterms:W3CDTF">2026-06-05T04:23:06.221Z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