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8"/>
          <w:sz w:val="64"/>
          <w:szCs w:val="64"/>
        </w:rPr>
        <w:t xml:space="preserve">MarketIQ · Agency Performance Report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Performance Report — May 2026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Generated by MarketIQ · Venpep</w:t>
      </w:r>
    </w:p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Date Generated: 27 May 2026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Confidential Report for Authorized Recipients Only</w:t>
      </w:r>
    </w:p>
    <w:p>
      <w:pPr>
        <w:pageBreakBefore/>
        <w:spacing w:after="150" w:before="200"/>
      </w:pPr>
      <w:r>
        <w:t xml:space="preserve">Section 1 — 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Below is a consolidated summary of key performance indicators (KPIs) over the last 30 days, evaluated alongside their vs last month trend metrics.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 Name</w:t>
            </w:r>
          </w:p>
        </w:tc>
        <w:tc>
          <w:tcPr>
            <w:tcW w:type="pct" w:w="30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pct" w:w="30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vs Last Month Trend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Total Spend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₹40,528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+65.2%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Avg CPC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₹4.54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-23.6%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Total Conversions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225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+64.2%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Blended ROAS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0.00x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+0.0%</w:t>
            </w:r>
          </w:p>
        </w:tc>
      </w:tr>
    </w:tbl>
    <w:p>
      <w:pPr>
        <w:pageBreakBefore/>
        <w:spacing w:after="150" w:before="200"/>
      </w:pPr>
      <w:r>
        <w:t xml:space="preserve">Section 2 — Platform Breakdown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Aggregated analytics breakdown sorted dynamically by platform networks to compare click volume, spend pacing, and conversion yield efficiency.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Clicks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Impressions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CPC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Conversions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meta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₹40,528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8,932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9,81,696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0.91%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₹4.54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225</w:t>
            </w:r>
          </w:p>
        </w:tc>
      </w:tr>
    </w:tbl>
    <w:p>
      <w:pPr>
        <w:pageBreakBefore/>
        <w:spacing w:after="150" w:before="200"/>
      </w:pPr>
      <w:r>
        <w:t xml:space="preserve">Section 3 — Top 5 Campaigns by Spend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Detailed performance audit of the top five campaigns aggregated by total budget utilization in the current 30-day window.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5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Campaign Name</w:t>
            </w:r>
          </w:p>
        </w:tc>
        <w:tc>
          <w:tcPr>
            <w:tcW w:type="pct" w:w="15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pct" w:w="13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CPC</w:t>
            </w:r>
          </w:p>
        </w:tc>
        <w:tc>
          <w:tcPr>
            <w:tcW w:type="pct" w:w="12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pct" w:w="13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Conversions</w:t>
            </w:r>
          </w:p>
        </w:tc>
        <w:tc>
          <w:tcPr>
            <w:tcW w:type="pct" w:w="12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CAI Mahindra Sales May Dynamic 2026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₹12,235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₹6.68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0.67%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51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active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CAI Mahindra Sales May 2026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₹7,791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₹6.85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0.77%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35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active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CAI Mahindra Commercial May 2026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₹7,578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₹4.12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0.71%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78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active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CAI Mahindra XEV May 2026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₹6,434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₹8.72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1.08%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55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active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CAI_Branding _Awareness_ May26_MEG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₹5,598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₹1.72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1.49%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active</w:t>
            </w:r>
          </w:p>
        </w:tc>
      </w:tr>
    </w:tbl>
    <w:p>
      <w:pPr>
        <w:pageBreakBefore/>
        <w:spacing w:after="150" w:before="200"/>
      </w:pPr>
      <w:r>
        <w:t xml:space="preserve">Section 4 — Campaigns Needing Attention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section isolates campaigns spending budget inefficiently without delivering active lead conversions (spend threshold exceeding ₹1,000 with 0 conversions).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Campaign Name</w:t>
            </w:r>
          </w:p>
        </w:tc>
        <w:tc>
          <w:tcPr>
            <w:tcW w:type="pct" w:w="15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pct" w:w="25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pct" w:w="30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CAI_Branding _Awareness_ May26_MEG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₹5,598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20"/>
                <w:szCs w:val="20"/>
              </w:rPr>
              <w:t xml:space="preserve">Zero conversion campaign with spend &gt; ₹1,000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Pause campaign immediately to stop budget bleed, and refresh creative assets or landing page copy.</w:t>
            </w:r>
          </w:p>
        </w:tc>
      </w:tr>
    </w:tbl>
    <w:p>
      <w:pPr>
        <w:pageBreakBefore/>
        <w:spacing w:after="150" w:before="200"/>
      </w:pPr>
      <w:r>
        <w:t xml:space="preserve">Section 5 — AI Strategy Recommendations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Groq-powered analytical recommendations tailored precisely to scale budget performance, improve CPL returns, and avoid creative fatigue.</w:t>
      </w:r>
    </w:p>
    <w:p>
      <w:pPr>
        <w:pStyle w:val="ListParagraph"/>
        <w:numPr>
          <w:ilvl w:val="0"/>
          <w:numId w:val="1"/>
        </w:num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Scale budget allocation for high-performing Meta lead campaigns to capitalize on the lower blended CPC.</w:t>
      </w:r>
    </w:p>
    <w:p>
      <w:pPr>
        <w:pStyle w:val="ListParagraph"/>
        <w:numPr>
          <w:ilvl w:val="0"/>
          <w:numId w:val="1"/>
        </w:num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Audit visual and copy fatigue for creative elements on campaigns exceeding a frequency of 3.0.</w:t>
      </w:r>
    </w:p>
    <w:p>
      <w:pPr>
        <w:pStyle w:val="ListParagraph"/>
        <w:numPr>
          <w:ilvl w:val="0"/>
          <w:numId w:val="1"/>
        </w:num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Re-engage low converting channels with retargeting custom audiences or refresh landing page layouts.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MarketIQ by Venpep  |  Confidential  |  Tenant: AGENCY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2026-05-27T12:43:58.621Z</dcterms:created>
  <dcterms:modified xsi:type="dcterms:W3CDTF">2026-05-27T12:43:58.621Z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