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27 May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₹40,528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+65.2%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-23.6%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+64.2%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₹40,528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8,932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9,81,696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Dynamic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₹12,235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₹6.68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₹7,791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₹6.85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Commercial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₹7,578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XEV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₹6,434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₹8.72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₹5,598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1.49%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₹5,598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Scale budget allocation for high-performing Meta lead campaigns to capitalize on the lower blended CPC.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Audit visual and copy fatigue for creative elements on campaigns exceeding a frequency of 3.0.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Re-engage low converting channels with retargeting custom audiences or refresh landing page layouts.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2026-05-27T12:53:05.439Z</dcterms:created>
  <dcterms:modified xsi:type="dcterms:W3CDTF">2026-05-27T12:53:05.439Z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