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EITP Complete Application (Recovered Version)</w:t>
      </w:r>
    </w:p>
    <w:p>
      <w:r>
        <w:rPr>
          <w:b/>
        </w:rPr>
        <w:t xml:space="preserve">Generated from the uploaded JavaScript document source. </w:t>
      </w:r>
      <w:r>
        <w:t>The original JS file appears partially corrupted/truncated, so a perfect execution isn't possible, but this document preserves the application content in a readable format.</w:t>
      </w:r>
    </w:p>
    <w:p>
      <w:r>
        <w:br w:type="page"/>
      </w:r>
    </w:p>
    <w:p>
      <w:r>
        <w:t>const {</w:t>
        <w:br/>
        <w:t xml:space="preserve">  Document, Packer, Paragraph, TextRun, Table, TableRow, TableCell,</w:t>
        <w:br/>
        <w:t xml:space="preserve">  HeadingLevel, AlignmentType, BorderStyle, WidthType, ShadingType,</w:t>
        <w:br/>
        <w:t xml:space="preserve">  LevelFormat, PageBreak, VerticalAlign</w:t>
        <w:br/>
        <w:t>} = require('docx');</w:t>
        <w:br/>
        <w:t>const fs = require('fs');</w:t>
        <w:br/>
        <w:br/>
        <w:t>// ─── Helpers ────────────────────────────────────────────────────────────────</w:t>
        <w:br/>
        <w:br/>
        <w:t>const border = { style: BorderStyle.SINGLE, size: 1, color: "AAAAAA" };</w:t>
        <w:br/>
        <w:t>const borders = { top: border, bottom: border, left: border, right: border };</w:t>
        <w:br/>
        <w:br/>
        <w:t>const headerBorder = { style: BorderStyle.SINGLE, size: 4, color: "1F4E79" };</w:t>
        <w:br/>
        <w:t>const headerBorders = { top: headerBorder, bottom: headerBorder, left: headerBorder, right: headerBorder };</w:t>
        <w:br/>
        <w:br/>
        <w:t>function h1(text) {</w:t>
        <w:br/>
        <w:t xml:space="preserve">  return new Paragraph({</w:t>
        <w:br/>
        <w:t xml:space="preserve">    heading: HeadingLevel.HEADING_1,</w:t>
        <w:br/>
        <w:t xml:space="preserve">    spacing: { before: 320, after: 160 },</w:t>
        <w:br/>
        <w:t xml:space="preserve">    children: [new TextRun({ text, bold: true, size: 28, color: "1F4E79", font: "Arial" })]</w:t>
        <w:br/>
        <w:t xml:space="preserve">  });</w:t>
        <w:br/>
        <w:t>}</w:t>
        <w:br/>
        <w:br/>
        <w:t>function h2(text) {</w:t>
        <w:br/>
        <w:t xml:space="preserve">  return new Paragraph({</w:t>
        <w:br/>
        <w:t xml:space="preserve">    heading: HeadingLevel.HEADING_2,</w:t>
        <w:br/>
        <w:t xml:space="preserve">    spacing: { before: 240, after: 120 },</w:t>
        <w:br/>
        <w:t xml:space="preserve">    children: [new TextRun({ text, bold: true, size: 24, color: "2E75B6", font: "Arial" })]</w:t>
        <w:br/>
        <w:t xml:space="preserve">  });</w:t>
        <w:br/>
        <w:t>}</w:t>
        <w:br/>
        <w:br/>
        <w:t>function h3(text) {</w:t>
        <w:br/>
        <w:t xml:space="preserve">  return new Paragraph({</w:t>
        <w:br/>
        <w:t xml:space="preserve">    spacing: { before: 180, after: 80 },</w:t>
        <w:br/>
        <w:t xml:space="preserve">    children: [new TextRun({ text, bold: true, size: 22, color: "333333", font: "Arial" })]</w:t>
        <w:br/>
        <w:t xml:space="preserve">  });</w:t>
        <w:br/>
        <w:t>}</w:t>
        <w:br/>
        <w:br/>
        <w:t>function para(text, opts = {}) {</w:t>
        <w:br/>
        <w:t xml:space="preserve">  return new Paragraph({</w:t>
        <w:br/>
        <w:t xml:space="preserve">    spacing: { before: 80, after: 80 },</w:t>
        <w:br/>
        <w:t xml:space="preserve">    children: [new TextRun({ text, size: 22, font: "Arial", ...opts })]</w:t>
        <w:br/>
        <w:t xml:space="preserve">  });</w:t>
        <w:br/>
        <w:t>}</w:t>
        <w:br/>
        <w:br/>
        <w:t>function bullet(text) {</w:t>
        <w:br/>
        <w:t xml:space="preserve">  return new Paragraph({</w:t>
        <w:br/>
        <w:t xml:space="preserve">    numbering: { reference: "bullets", level: 0 },</w:t>
        <w:br/>
        <w:t xml:space="preserve">    spacing: { before: 60, after: 60 },</w:t>
        <w:br/>
        <w:t xml:space="preserve">    children: [new TextRun({ text, size: 22, font: "Arial" })]</w:t>
        <w:br/>
        <w:t xml:space="preserve">  });</w:t>
        <w:br/>
        <w:t>}</w:t>
        <w:br/>
        <w:br/>
        <w:t>function numbered(text) {</w:t>
        <w:br/>
        <w:t xml:space="preserve">  return new Paragraph({</w:t>
        <w:br/>
        <w:t xml:space="preserve">    numbering: { reference: "numbers", level: 0 },</w:t>
        <w:br/>
        <w:t xml:space="preserve">    spacing: { before: 60, after: 60 },</w:t>
        <w:br/>
        <w:t xml:space="preserve">    children: [new TextRun({ text, size: 22, font: "Arial" })]</w:t>
        <w:br/>
        <w:t xml:space="preserve">  });</w:t>
        <w:br/>
        <w:t>}</w:t>
        <w:br/>
        <w:br/>
        <w:t>function spacer() {</w:t>
        <w:br/>
        <w:t xml:space="preserve">  return new Paragraph({ children: [new TextRun("")], spacing: { before: 80, after: 80 } });</w:t>
        <w:br/>
        <w:t>}</w:t>
        <w:br/>
        <w:br/>
        <w:t>function makeTable(headers, rows, colWidths) {</w:t>
        <w:br/>
        <w:t xml:space="preserve">  const totalWidth = colWidths.reduce((a, b) =&gt; a + b, 0);</w:t>
        <w:br/>
        <w:t xml:space="preserve">  return new Table({</w:t>
        <w:br/>
        <w:t xml:space="preserve">    width: { size: totalWidth, type: WidthType.DXA },</w:t>
        <w:br/>
        <w:t xml:space="preserve">    columnWidths: colWidths,</w:t>
        <w:br/>
        <w:t xml:space="preserve">    rows: [</w:t>
        <w:br/>
        <w:t xml:space="preserve">      new TableRow({</w:t>
        <w:br/>
        <w:t xml:space="preserve">        tableHeader: true,</w:t>
        <w:br/>
        <w:t xml:space="preserve">        children: headers.map((h, i) =&gt; new TableCell({</w:t>
        <w:br/>
        <w:t xml:space="preserve">          borders: headerBorders,</w:t>
        <w:br/>
        <w:t xml:space="preserve">          width: { size: colWidths[i], type: WidthType.DXA },</w:t>
        <w:br/>
        <w:t xml:space="preserve">          shading: { fill: "1F4E79", type: ShadingType.CLEAR },</w:t>
        <w:br/>
        <w:t xml:space="preserve">          margins: { top: 80, bottom: 80, left: 120, right: 120 },</w:t>
        <w:br/>
        <w:t xml:space="preserve">          verticalAlign: VerticalAlign.CENTER,</w:t>
        <w:br/>
        <w:t xml:space="preserve">          children: [new Paragraph({</w:t>
        <w:br/>
        <w:t xml:space="preserve">            alignment: AlignmentType.CENTER,</w:t>
        <w:br/>
        <w:t xml:space="preserve">            children: [new TextRun({ text: h, bold: true, size: 20, color: "FFFFFF", font: "Arial" })]</w:t>
        <w:br/>
        <w:t xml:space="preserve">          })]</w:t>
        <w:br/>
        <w:t xml:space="preserve">        }))</w:t>
        <w:br/>
        <w:t xml:space="preserve">      }),</w:t>
        <w:br/>
        <w:t xml:space="preserve">      ...rows.map((row, ri) =&gt; new TableRow({</w:t>
        <w:br/>
        <w:t xml:space="preserve">        children: row.map((cell, i) =&gt; new TableCell({</w:t>
        <w:br/>
        <w:t xml:space="preserve">          borders,</w:t>
        <w:br/>
        <w:t xml:space="preserve">          width: { size: colWidths[i], type: WidthType.DXA },</w:t>
        <w:br/>
        <w:t xml:space="preserve">          shading: { fill: ri % 2 === 0 ? "F0F4FF" : "FFFFFF", type: ShadingType.CLEAR },</w:t>
        <w:br/>
        <w:t xml:space="preserve">          margins: { top: 80, bottom: 80, left: 120, right: 120 },</w:t>
        <w:br/>
        <w:t xml:space="preserve">          children: [new Paragraph({</w:t>
        <w:br/>
        <w:t xml:space="preserve">            children: [new TextRun({ text: cell, size: 20, font: "Arial" })]</w:t>
        <w:br/>
        <w:t xml:space="preserve">          })]</w:t>
        <w:br/>
        <w:t xml:space="preserve">        }))</w:t>
        <w:br/>
        <w:t xml:space="preserve">      }))</w:t>
        <w:br/>
        <w:t xml:space="preserve">    ]</w:t>
        <w:br/>
        <w:t xml:space="preserve">  });</w:t>
        <w:br/>
        <w:t>}</w:t>
        <w:br/>
        <w:br/>
        <w:t>function sectionNote(text) {</w:t>
        <w:br/>
        <w:t xml:space="preserve">  return new Paragraph({</w:t>
        <w:br/>
        <w:t xml:space="preserve">    spacing: { before: 100, after: 100 },</w:t>
        <w:br/>
        <w:t xml:space="preserve">    shading: { fill: "FFF3CD", type: ShadingType.CLEAR },</w:t>
        <w:br/>
        <w:t xml:space="preserve">    children: [new TextRun({ text: `⚠ ${text}`, size: 20, italics: true, color: "856404", font: "Arial" })]</w:t>
        <w:br/>
        <w:t xml:space="preserve">  });</w:t>
        <w:br/>
        <w:t>}</w:t>
        <w:br/>
        <w:br/>
        <w:t>// ─── DOCUMENT CONTENT ────────────────────────────────────────────────────────</w:t>
        <w:br/>
        <w:br/>
        <w:t>const children = [];</w:t>
        <w:br/>
        <w:br/>
        <w:t>// COVER</w:t>
        <w:br/>
        <w:t>children.push(</w:t>
        <w:br/>
        <w:t xml:space="preserve">  new Paragraph({</w:t>
        <w:br/>
        <w:t xml:space="preserve">    alignment: AlignmentType.CENTER,</w:t>
        <w:br/>
        <w:t xml:space="preserve">    spacing: { before: 480, after: 120 },</w:t>
        <w:br/>
        <w:t xml:space="preserve">    children: [new TextRun({ text: "RAJIV GANDHI UNIVERSITY OF KNOWLEDGE TECHNOLOGIES", bold: true, size: 28, color: "1F4E79", font: "Arial" })]</w:t>
        <w:br/>
        <w:t xml:space="preserve">  }),</w:t>
        <w:br/>
        <w:t xml:space="preserve">  new Paragraph({</w:t>
        <w:br/>
        <w:t xml:space="preserve">    alignment: AlignmentType.CENTER,</w:t>
        <w:br/>
        <w:t xml:space="preserve">    spacing: { before: 80, after: 80 },</w:t>
        <w:br/>
        <w:t xml:space="preserve">    children: [new TextRun({ text: "ANDHRA PRADESH", bold: true, size: 26, color: "1F4E79", font: "Arial" })]</w:t>
        <w:br/>
        <w:t xml:space="preserve">  }),</w:t>
        <w:br/>
        <w:t xml:space="preserve">  new Paragraph({</w:t>
        <w:br/>
        <w:t xml:space="preserve">    alignment: AlignmentType.CENTER,</w:t>
        <w:br/>
        <w:t xml:space="preserve">    spacing: { before: 120, after: 80 },</w:t>
        <w:br/>
        <w:t xml:space="preserve">    children: [new TextRun({ text: "EVALUATION TEST FOR EITP INTERNS – AY 2026-27", bold: true, size: 24, color: "2E75B6", font: "Arial" })]</w:t>
        <w:br/>
        <w:t xml:space="preserve">  }),</w:t>
        <w:br/>
        <w:t xml:space="preserve">  new Paragraph({</w:t>
        <w:br/>
        <w:t xml:space="preserve">    alignment: AlignmentType.CENTER,</w:t>
        <w:br/>
        <w:t xml:space="preserve">    spacing: { before: 80, after: 400 },</w:t>
        <w:br/>
        <w:t xml:space="preserve">    children: [new TextRun({ text: "COMPLETE APPLICATION DOCUMENT", bold: true, size: 22, color: "555555", font: "Arial" })]</w:t>
        <w:br/>
        <w:t xml:space="preserve">  }),</w:t>
        <w:br/>
        <w:t xml:space="preserve">  spacer(),</w:t>
        <w:br/>
        <w:t>);</w:t>
        <w:br/>
        <w:br/>
        <w:t>// ─── PART A ──────────────────────────────────────────────────────────────────</w:t>
        <w:br/>
        <w:t>children.push(h1("PART A — APPLICANT DETAILS"));</w:t>
        <w:br/>
        <w:br/>
        <w:t>const partAData = [</w:t>
        <w:br/>
        <w:t xml:space="preserve">  ["Name", "O. Sree Chakra Reddy"],</w:t>
        <w:br/>
        <w:t xml:space="preserve">  ["ID Number", "23F3003224"],</w:t>
        <w:br/>
        <w:t xml:space="preserve">  ["Department", "ECE — Minor in AI/ML &amp; Quantum Technologies"],</w:t>
        <w:br/>
        <w:t xml:space="preserve">  ["Year of Study", "5th Year (AY 2026–27)"],</w:t>
        <w:br/>
        <w:t xml:space="preserve">  ["CGPA (Till B.Tech 3rd Year Sem-1)", "8.0 / 10"],</w:t>
        <w:br/>
        <w:t xml:space="preserve">  ["Active Backlogs", "No"],</w:t>
        <w:br/>
        <w:t xml:space="preserve">  ["Email ID", "sreechakrareddy@gmail.com"],</w:t>
        <w:br/>
        <w:t xml:space="preserve">  ["Mobile (WhatsApp)", "[ADD YOUR WHATSAPP NUMBER]"],</w:t>
        <w:br/>
        <w:t xml:space="preserve">  ["LinkedIn ID", "linkedin.com/in/sreechakrareddy"],</w:t>
        <w:br/>
        <w:t xml:space="preserve">  ["Career Goal", "Startup / Entrepreneurship + Full-Time IT/AI Role"],</w:t>
        <w:br/>
        <w:t xml:space="preserve">  ["Work Preference", "1st: EITP – Entrepreneurship Ecosystem | 2nd: Placements &amp; Internships | Any work okay"],</w:t>
        <w:br/>
        <w:t xml:space="preserve">  ["Location Preference", "Any location is okay"],</w:t>
        <w:br/>
        <w:t>];</w:t>
        <w:br/>
        <w:br/>
        <w:t>children.push(</w:t>
        <w:br/>
        <w:t xml:space="preserve">  new Table({</w:t>
        <w:br/>
        <w:t xml:space="preserve">    width: { size: 9360, type: WidthType.DXA },</w:t>
        <w:br/>
        <w:t xml:space="preserve">    columnWidths: [3200, 6160],</w:t>
        <w:br/>
        <w:t xml:space="preserve">    rows: partAData.map(([label, value], ri) =&gt; new TableRow({</w:t>
        <w:br/>
        <w:t xml:space="preserve">      children: [</w:t>
        <w:br/>
        <w:t xml:space="preserve">        new TableCell({</w:t>
        <w:br/>
        <w:t xml:space="preserve">          borders,</w:t>
        <w:br/>
        <w:t xml:space="preserve">          width: { size: 3200, type: WidthType.DXA },</w:t>
        <w:br/>
        <w:t xml:space="preserve">          shading: { fill: "E8F0FE", type: ShadingType.CLEAR },</w:t>
        <w:br/>
        <w:t xml:space="preserve">          margins: { top: 80, bottom: 80, left: 120, right: 120 },</w:t>
        <w:br/>
        <w:t xml:space="preserve">          children: [new Paragraph({ children: [new TextRun({ text: label, bold: true, size: 20, font: "Arial" })] })]</w:t>
        <w:br/>
        <w:t xml:space="preserve">        }),</w:t>
        <w:br/>
        <w:t xml:space="preserve">        new TableCell({</w:t>
        <w:br/>
        <w:t xml:space="preserve">          borders,</w:t>
        <w:br/>
        <w:t xml:space="preserve">          width: { size: 6160, type: WidthType.DXA },</w:t>
        <w:br/>
        <w:t xml:space="preserve">          margins: { top: 80, bottom: 80, left: 120, right: 120 },</w:t>
        <w:br/>
        <w:t xml:space="preserve">          children: [new Paragraph({ children: [new TextRun({ text: value, size: 20, font: "Arial", color: label.includes("WhatsApp") ? "CC0000" : "000000" })] })]</w:t>
        <w:br/>
        <w:t xml:space="preserve">        }),</w:t>
        <w:br/>
        <w:t xml:space="preserve">      ]</w:t>
        <w:br/>
        <w:t xml:space="preserve">    }))</w:t>
        <w:br/>
        <w:t xml:space="preserve">  }),</w:t>
        <w:br/>
        <w:t xml:space="preserve">  spacer()</w:t>
        <w:br/>
        <w:t>);</w:t>
        <w:br/>
        <w:br/>
        <w:t>// ─── PART B ──────────────────────────────────────────────────────────────────</w:t>
        <w:br/>
        <w:t>children.push(</w:t>
        <w:br/>
        <w:t xml:space="preserve">  new Paragraph({ children: [new PageBreak()] }),</w:t>
        <w:br/>
        <w:t xml:space="preserve">  h1("PART B — HEC &amp; CEC")</w:t>
        <w:br/>
        <w:t>);</w:t>
        <w:br/>
        <w:br/>
        <w:t>// B1</w:t>
        <w:br/>
        <w:t>children.push(</w:t>
        <w:br/>
        <w:t xml:space="preserve">  h2("B1. Have you worked in HEC &amp; CEC earlier? (4 marks)"),</w:t>
        <w:br/>
        <w:t xml:space="preserve">  para("I haven't held a formal position in HEC &amp; CEC. But I've done work that directly overlaps with what HEC &amp; CEC does — just outside the official structure."),</w:t>
        <w:br/>
        <w:t xml:space="preserve">  para("During 2024–25, I conducted peer sessions on Python, SQL, and data analysis for ECE batchmates who had no exposure to these tools. I personally guided 10+ students to apply to Forage virtual internship programs — many of them completed their first industry-facing experience from that. I also mentored junior students in hackathon project structuring, and I maintained a two-way bridge between RGUKT's peer network and IIT Madras's learning ecosystem, sharing resources, course materials, and competition opportunities with batchmates who wouldn't have otherwise found them."),</w:t>
        <w:br/>
        <w:t xml:space="preserve">  para("Additionally, founding Sree Connect while enrolled at RGUKT is itself a form of HEC-aligned activity — it demonstrated that entrepreneurship is possible from within our campus, and I mentored 3 other student teams through their early ideation and product-building phases."),</w:t>
        <w:br/>
        <w:t xml:space="preserve">  para("If selected for EITP, I'm not coming in to learn what HEC &amp; CEC does — I've been practising it informally for two years."),</w:t>
        <w:br/>
        <w:t xml:space="preserve">  spacer()</w:t>
        <w:br/>
        <w:t>);</w:t>
        <w:br/>
        <w:br/>
        <w:t>// B2</w:t>
        <w:br/>
        <w:t>children.push(</w:t>
        <w:br/>
        <w:t xml:space="preserve">  h2("B2. Faculty Coordinator of HEC &amp; CEC — Name, Department, Email (2 marks)"),</w:t>
        <w:br/>
        <w:t xml:space="preserve">  sectionNote("Fill in from your campus records. Ask your department coordinator or HEC cell directly."),</w:t>
        <w:br/>
        <w:t xml:space="preserve">  para("Name: _______________________________"),</w:t>
        <w:br/>
        <w:t xml:space="preserve">  para("Department: _______________________________"),</w:t>
        <w:br/>
        <w:t xml:space="preserve">  para("Email: _______________________________"),</w:t>
        <w:br/>
        <w:t xml:space="preserve">  spacer()</w:t>
        <w:br/>
        <w:t>);</w:t>
        <w:br/>
        <w:br/>
        <w:t>// B3</w:t>
        <w:br/>
        <w:t>children.push(</w:t>
        <w:br/>
        <w:t xml:space="preserve">  h2("B3. Objectives and Functions of HEC &amp; CEC (10 marks)"),</w:t>
        <w:br/>
        <w:t xml:space="preserve">  para("HEC stands for Higher Education Cell and CEC stands for Career Enhancement Cell. Together they form the backbone of non-placement student development at RGUKT campuses."),</w:t>
        <w:br/>
        <w:t xml:space="preserve">  h3("Core Objectives:"),</w:t>
        <w:br/>
        <w:t xml:space="preserve">  para("The HEC side is focused on students who want to pursue postgraduate education — primarily GATE, GRE, TOEFL, CAT, and other competitive exams. It creates structured preparation pathways so students aren't left to figure things out alone. The CEC side handles students who want to enter the workforce — focusing on skill development, industry readiness, resume building, and competitive examination awareness for government jobs."),</w:t>
        <w:br/>
        <w:t xml:space="preserve">  h3("Main Functions in Practice:"),</w:t>
        <w:br/>
        <w:t xml:space="preserve">  para("HEC identifies GATE-aspiring students early (ideally by 3rd year) and connects them to preparation resources, coaching support, and senior mentors who have already cleared GATE. It tracks individual student progress, coordinates with faculty SPOCs across departments, manages MoU-linked training programs (like Sadisha Foundation, GoClasses, Prepfusion), and produces department-wise reports on performance trends."),</w:t>
        <w:br/>
        <w:t xml:space="preserve">  para("CEC runs awareness sessions on government competitive exams — APPSC Group 1/2, SSC, IBPS, RRB — and ensures students know what to prepare for and when. It also ties into skill development initiatives, coordinates with EITP on digital literacy programs, and works alongside placement cells to ensure students who don't get placed in campus drives are still career-ready through alternative paths."),</w:t>
        <w:br/>
        <w:t xml:space="preserve">  para("Both cells are ultimately responsible for ensuring that every graduating student has a clear, informed career direction — and has received at least some structured support in pursuing it. What makes HEC &amp; CEC valuable isn't just the programs they run, but the longitudinal tracking they do across a student's 4–6 years at RGUKT."),</w:t>
        <w:br/>
        <w:t xml:space="preserve">  spacer()</w:t>
        <w:br/>
        <w:t>);</w:t>
        <w:br/>
        <w:br/>
        <w:t>// B4</w:t>
        <w:br/>
        <w:t>children.push(</w:t>
        <w:br/>
        <w:t xml:space="preserve">  h2("B4. Two Major Activities by HEC &amp; CEC During AY 2025–26 (10 marks)"),</w:t>
        <w:br/>
        <w:t xml:space="preserve">  sectionNote("Verify dates, participant counts, and guest speaker details with your HEC coordinator before submitting."),</w:t>
        <w:br/>
        <w:t xml:space="preserve">  h3("Activity 1: GATE Orientation &amp; Enrollment Drive (August–September 2025)"),</w:t>
        <w:br/>
        <w:t xml:space="preserve">  para("At the start of AY 2025–26, HEC conducted a campus-wide GATE orientation session targeting 3rd and 4th year students across ECE, CSE, EEE, and Mechanical departments. The session covered GATE exam structure, syllabus mapping by branch, IIT/NIT admission cutoffs from previous years, and the importance of early registration. Students were enrolled into the GATE-USP tracking system and assigned to department-level SPOCs. Approximately 200–300 students participated across departments. Study material and NPTEL course recommendations were distributed at the end of the session."),</w:t>
        <w:br/>
        <w:t xml:space="preserve">  h3("Activity 2: Communication and Aptitude Skill Development Programme (January–February 2026)"),</w:t>
        <w:br/>
        <w:t xml:space="preserve">  para("CEC organised a 4-week placement readiness training programme covering verbal communication, group discussions, quantitative aptitude, and logical reasoning. Sessions were conducted by faculty coordinators with support from the TNP cell. Approximately 150+ final year students participated. The programme included mock group discussion rounds and basic HR interview practice, directly targeting the skill gaps that cost students opportunities during campus drives."),</w:t>
        <w:br/>
        <w:t xml:space="preserve">  spacer()</w:t>
        <w:br/>
        <w:t>);</w:t>
        <w:br/>
        <w:br/>
        <w:t>// B5</w:t>
        <w:br/>
        <w:t>children.push(</w:t>
        <w:br/>
        <w:t xml:space="preserve">  h2("B5. Explain RGUKT GATE-USP 2026 — Purpose, Benefits, Execution Methodology (20 marks)"),</w:t>
        <w:br/>
        <w:t xml:space="preserve">  h3("Purpose:"),</w:t>
        <w:br/>
        <w:t xml:space="preserve">  para("GATE-USP (University Support Program) 2026 was RGUKT-AP's institutional initiative to systematically improve GATE outcomes across all four campuses. The underlying problem it addressed was clear — thousands of technically capable RGUKT students were either not attempting GATE or underperforming relative to their actual ability, simply because they lacked structured preparation support, awareness of how to approach the exam, and access to quality resources. GATE-USP was designed to fix that. Not just to tell students 'GATE is important,' but to build an actual support infrastructure around them."),</w:t>
        <w:br/>
        <w:t xml:space="preserve">  h3("Benefits:"),</w:t>
        <w:br/>
        <w:t xml:space="preserve">  para("For students, GATE-USP meant access to study material, mock tests, faculty guidance, peer study groups, and in some cases, external training partnerships (Sadisha/GoClasses/Prepfusion). For the institution, it meant a measurable improvement in the number of students who qualify GATE and secure admissions into IITs and NITs — which directly affects RGUKT's academic reputation. For faculty, it created a framework to identify high-potential students early and give them focused attention without disrupting regular academics."),</w:t>
        <w:br/>
        <w:t xml:space="preserve">  h3("Execution Methodology — Four Phases:"),</w:t>
        <w:br/>
        <w:t xml:space="preserve">  h3("Phase 1 — Identification (June–August 2025)"),</w:t>
        <w:br/>
        <w:t xml:space="preserve">  para("Department SPOCs across all campuses identified students with GATE interest. Baseline assessments were conducted to map current preparation levels. Students were categorised into high-readiness, medium-readiness, and needs-support groups."),</w:t>
        <w:br/>
        <w:t xml:space="preserve">  h3("Phase 2 — Resource Deployment (September–November 2025)"),</w:t>
        <w:br/>
        <w:t xml:space="preserve">  para("Study materials, previous year papers, and mock test schedules were rolled out through HEC. The Sadisha Foundation training programme for women in CSE was activated. GoClasses and Prepfusion provided supplementary online content for enrolled students."),</w:t>
        <w:br/>
        <w:t xml:space="preserve">  h3("Phase 3 — Mock Testing &amp; Gap Analysis (December 2025–January 2026)"),</w:t>
        <w:br/>
        <w:t xml:space="preserve">  para("Regular mock tests were conducted under GATE-like conditions. Department SPOCs reviewed scores and flagged students who needed additional support. Weak subjects were identified and targeted revision sessions were organised."),</w:t>
        <w:br/>
        <w:t xml:space="preserve">  h3("Phase 4 — Final Preparation Support (February 2026)"),</w:t>
        <w:br/>
        <w:t xml:space="preserve">  para("Revision clinics, doubt sessions, and mental preparation support were provided. Faculty mentors maintained one-on-one check-ins with high-potential students targeting AIR below 100. GATE 2026 was conducted in February 2026 and results were analysed campus-wise and department-wise to inform the GATE-USP 2027 design."),</w:t>
        <w:br/>
        <w:t xml:space="preserve">  spacer()</w:t>
        <w:br/>
        <w:t>);</w:t>
        <w:br/>
        <w:br/>
        <w:t>// B6</w:t>
        <w:br/>
        <w:t>children.push(</w:t>
        <w:br/>
        <w:t xml:space="preserve">  h2("B6. Major Outcomes Achieved Through RGUKT GATE-USP 2026 (10 marks)"),</w:t>
        <w:br/>
        <w:t xml:space="preserve">  sectionNote("Fill in actual figures from EITP/HEC records. The table structure is ready — replace estimates with real data."),</w:t>
        <w:br/>
        <w:t xml:space="preserve">  para("The GATE-USP 2026 programme generated measurable improvement across campuses compared to previous years. Highlights:"),</w:t>
        <w:br/>
        <w:t xml:space="preserve">  spacer(),</w:t>
        <w:br/>
        <w:t xml:space="preserve">  makeTable(</w:t>
        <w:br/>
        <w:t xml:space="preserve">    ["Outcome", "Figures"],</w:t>
        <w:br/>
        <w:t xml:space="preserve">    [</w:t>
        <w:br/>
        <w:t xml:space="preserve">      ["Total GATE attempts across 4 campuses", "[Fill from EITP records]"],</w:t>
        <w:br/>
        <w:t xml:space="preserve">      ["Total GATE qualifications", "[Fill from EITP records]"],</w:t>
        <w:br/>
        <w:t xml:space="preserve">      ["Best AIR achieved (ECE)", "[Fill — e.g., AIR below 500]"],</w:t>
        <w:br/>
        <w:t xml:space="preserve">      ["Best AIR achieved (CSE)", "[Fill — e.g., AIR below 200]"],</w:t>
        <w:br/>
        <w:t xml:space="preserve">      ["IIT/NIT M.Tech admissions secured", "[Fill from records]"],</w:t>
        <w:br/>
        <w:t xml:space="preserve">      ["PSU recruitment through GATE score", "[Fill from records]"],</w:t>
        <w:br/>
        <w:t xml:space="preserve">      ["Sadisha batch qualifications (out of 100 CSE women)", "[Fill from records]"],</w:t>
        <w:br/>
        <w:t xml:space="preserve">    ],</w:t>
        <w:br/>
        <w:t xml:space="preserve">    [5000, 4360]</w:t>
        <w:br/>
        <w:t xml:space="preserve">  ),</w:t>
        <w:br/>
        <w:t xml:space="preserve">  spacer(),</w:t>
        <w:br/>
        <w:t xml:space="preserve">  para("What's notable is that the Sadisha Foundation cohort (100 women in CSE) didn't hit the AIR below 100 target, but the programme created a ripple effect — it triggered preparation seriousness across campuses that went beyond the 100 enrolled students. This indirect impact is arguably a more significant institutional outcome than the direct metrics alone."),</w:t>
        <w:br/>
        <w:t xml:space="preserve">  para("My own GATE 2026 result: AIR 10,424 in ECE — Top 2% nationally — achieved without formal coaching, while managing two full degree programmes simultaneously."),</w:t>
        <w:br/>
        <w:t xml:space="preserve">  spacer()</w:t>
        <w:br/>
        <w:t>);</w:t>
        <w:br/>
        <w:br/>
        <w:t>// B7</w:t>
        <w:br/>
        <w:t>children.push(</w:t>
        <w:br/>
        <w:t xml:space="preserve">  h2("B7. Challenges During GATE-USP 2026 and Practical Solutions (10 marks)"),</w:t>
        <w:br/>
        <w:t xml:space="preserve">  h3("Challenge 1 — Student Dropout Mid-Semester"),</w:t>
        <w:br/>
        <w:t xml:space="preserve">  para("A significant number of enrolled students lost focus after the first month. Initial enthusiasm fades once the exam feels distant and academic pressure builds. The tracking systems didn't catch dropouts early enough to intervene."),</w:t>
        <w:br/>
        <w:t xml:space="preserve">  para("Solution: Build a weekly check-in system using a simple Google Form or WhatsApp-based pulse survey. If a student misses two consecutive sessions, a faculty SPOC gets an automated flag. Early intervention (a conversation, not punishment) retains drifting students."),</w:t>
        <w:br/>
        <w:t xml:space="preserve">  h3("Challenge 2 — Quality Gap in Mock Tests"),</w:t>
        <w:br/>
        <w:t xml:space="preserve">  para("Internal mock tests didn't always reflect actual GATE difficulty levels. Students scored well in internal mocks but underperformed in the actual exam because calibration was off."),</w:t>
        <w:br/>
        <w:t xml:space="preserve">  para("Solution: Partner with platforms like GoClasses or GATE Overflow for standardised mock tests. At minimum, use the previous 5 years of official GATE papers as mock material, analysed by subject."),</w:t>
        <w:br/>
        <w:t xml:space="preserve">  h3("Challenge 3 — Subject-Wise Mentorship Availability"),</w:t>
        <w:br/>
        <w:t xml:space="preserve">  para("Not all departments had faculty comfortable with GATE syllabus. ECE and CSE have stronger GATE culture; other departments struggled."),</w:t>
        <w:br/>
        <w:t xml:space="preserve">  para("Solution: Build a cross-campus virtual mentorship system where GATE-qualified alumni from stronger campuses mentor students at weaker campuses through scheduled online sessions. This costs almost nothing and scales immediately."),</w:t>
        <w:br/>
        <w:t xml:space="preserve">  h3("Challenge 4 — Sadisha Programme Coordination Gaps"),</w:t>
        <w:br/>
        <w:t xml:space="preserve">  para("Session scheduling conflicted with academic timetable, attendance was inconsistent, and feedback wasn't collected systematically."),</w:t>
        <w:br/>
        <w:t xml:space="preserve">  para("Solution: Assign a dedicated student coordinator (HEC intern or EITP trainee) per campus to manage the Sadisha batch — handling scheduling, attendance, and feedback so faculty SPOCs aren't overloaded."),</w:t>
        <w:br/>
        <w:t xml:space="preserve">  spacer()</w:t>
        <w:br/>
        <w:t>);</w:t>
        <w:br/>
        <w:br/>
        <w:t>// B8</w:t>
        <w:br/>
        <w:t>children.push(</w:t>
        <w:br/>
        <w:t xml:space="preserve">  h2("B8. Proposal for RGUKT GATE-USP 2027 (50 marks)"),</w:t>
        <w:br/>
        <w:t xml:space="preserve">  para("Objective: 1000 GATE Qualifiers | Single-digit AIR from every campus | 200 IIT selections", { bold: true }),</w:t>
        <w:br/>
        <w:t xml:space="preserve">  spacer(),</w:t>
        <w:br/>
        <w:t xml:space="preserve">  h3("Phase 0 — Baseline &amp; Design (April–May 2026)"),</w:t>
        <w:br/>
        <w:t xml:space="preserve">  para("Start with an honest audit of GATE-USP 2026. Department-wise, campus-wise breakdown of qualifiers, scores, and dropouts. Identify which interventions worked and which didn't. Simultaneously, survey all 3rd and 4th year students across campuses to identify GATE interest and current preparation level — this becomes the enrollment baseline."),</w:t>
        <w:br/>
        <w:t xml:space="preserve">  h3("Phase 1 — Enrollment &amp; Segmentation (June–July 2026)"),</w:t>
        <w:br/>
        <w:t xml:space="preserve">  para("Target enrollment: 2500+ students into the GATE-USP tracking system. Segment into three tiers:"),</w:t>
        <w:br/>
        <w:t xml:space="preserve">  spacer(),</w:t>
        <w:br/>
        <w:t xml:space="preserve">  makeTable(</w:t>
        <w:br/>
        <w:t xml:space="preserve">    ["Tier", "Target Count", "Focus"],</w:t>
        <w:br/>
        <w:t xml:space="preserve">    [</w:t>
        <w:br/>
        <w:t xml:space="preserve">      ["Tier A — High Potential", "150 students (across campuses)", "AIR below 100, IIT M.Tech admissions"],</w:t>
        <w:br/>
        <w:t xml:space="preserve">      ["Tier B — Moderate Potential", "1500 students", "GATE qualification"],</w:t>
        <w:br/>
        <w:t xml:space="preserve">      ["Tier C — Awareness Only", "800+ students", "Awareness, optional sessions"],</w:t>
        <w:br/>
        <w:t xml:space="preserve">    ],</w:t>
        <w:br/>
        <w:t xml:space="preserve">    [2000, 3000, 4360]</w:t>
        <w:br/>
        <w:t xml:space="preserve">  ),</w:t>
        <w:br/>
        <w:t xml:space="preserve">  spacer(),</w:t>
        <w:br/>
        <w:t xml:space="preserve">  h3("Phase 2 — Resource Architecture (July–September 2026)"),</w:t>
        <w:br/>
        <w:t xml:space="preserve">  para("Activate GoClasses, Prepfusion, and Sadisha Foundation for their respective cohorts. Negotiate with at least one additional platform (GATE Overflow, Made Easy Online, Testbook) for subsidised institutional access. Each department should have: one faculty SPOC, one senior student mentor (GATE qualified from 2025/2026 batch), and one EITP intern as coordinator. Set up a shared drive with subject-wise notes, previous 10 years GATE papers, NPTEL lecture links, and a full-year mock test calendar."),</w:t>
        <w:br/>
        <w:t xml:space="preserve">  h3("Phase 3 — Mock Test Series (October 2026–January 2027)"),</w:t>
        <w:br/>
        <w:t xml:space="preserve">  para("Monthly full-length mock tests from October. Weekly subject-wise tests for Tier A. All tests analysed by SPOC teams — not just scores tracked but subject-by-subject weaknesses mapped. From January, shift to twice-monthly full mocks. Target: every Tier A student attempts at least 15 full-length mocks before the actual exam."),</w:t>
        <w:br/>
        <w:t xml:space="preserve">  h3("Phase 4 — Mentorship &amp; Accountability (Ongoing)"),</w:t>
        <w:br/>
        <w:t xml:space="preserve">  para("For 150 Tier A students, pair each with a GATE AIR below 500 alumnus or current IIT/NIT student for monthly one-on-one sessions. Weekly SPOC progress reports to HEC. Monthly campus-wise dashboards sent to EITP Head Office."),</w:t>
        <w:br/>
        <w:t xml:space="preserve">  h3("Phase 5 — Final Sprint (February 2027)"),</w:t>
        <w:br/>
        <w:t xml:space="preserve">  para("Full-time revision support two weeks before GATE: daily doubt sessions, subject clinics, mental wellness check-ins, logistics support (hall ticket issues, exam centre navigation)."),</w:t>
        <w:br/>
        <w:t xml:space="preserve">  spacer(),</w:t>
        <w:br/>
        <w:t xml:space="preserve">  h3("Expected Outcomes:"),</w:t>
        <w:br/>
        <w:t xml:space="preserve">  makeTable(</w:t>
        <w:br/>
        <w:t xml:space="preserve">    ["Metric", "Target"],</w:t>
        <w:br/>
        <w:t xml:space="preserve">    [</w:t>
        <w:br/>
        <w:t xml:space="preserve">      ["GATE Qualified", "1000+"],</w:t>
        <w:br/>
        <w:t xml:space="preserve">      ["AIR below 100", "At least 1 per campus (4 minimum)"],</w:t>
        <w:br/>
        <w:t xml:space="preserve">      ["AIR below 500", "20+"],</w:t>
        <w:br/>
        <w:t xml:space="preserve">      ["IIT/NIT M.Tech admissions", "200+"],</w:t>
        <w:br/>
        <w:t xml:space="preserve">      ["Student satisfaction with programme", "Above 80%"],</w:t>
        <w:br/>
        <w:t xml:space="preserve">    ],</w:t>
        <w:br/>
        <w:t xml:space="preserve">    [5000, 4360]</w:t>
        <w:br/>
        <w:t xml:space="preserve">  ),</w:t>
        <w:br/>
        <w:t xml:space="preserve">  spacer(),</w:t>
        <w:br/>
        <w:t xml:space="preserve">  h3("Budget Estimate (Approximate):"),</w:t>
        <w:br/>
        <w:t xml:space="preserve">  makeTable(</w:t>
        <w:br/>
        <w:t xml:space="preserve">    ["Item", "Cost"],</w:t>
        <w:br/>
        <w:t xml:space="preserve">    [</w:t>
        <w:br/>
        <w:t xml:space="preserve">      ["Online platform licences (GoClasses, Testbook etc.)", "₹8–12 lakhs"],</w:t>
        <w:br/>
        <w:t xml:space="preserve">      ["Coordination stipends (EITP interns)", "₹3–4 lakhs"],</w:t>
        <w:br/>
        <w:t xml:space="preserve">      ["Mock test materials and printing", "₹1–2 lakhs"],</w:t>
        <w:br/>
        <w:t xml:space="preserve">      ["Alumni mentor coordination", "Nil (voluntary, structured)"],</w:t>
        <w:br/>
        <w:t xml:space="preserve">      ["Total (across 4 campuses)", "₹12–18 lakhs"],</w:t>
        <w:br/>
        <w:t xml:space="preserve">    ],</w:t>
        <w:br/>
        <w:t xml:space="preserve">    [5000, 4360]</w:t>
        <w:br/>
        <w:t xml:space="preserve">  ),</w:t>
        <w:br/>
        <w:t xml:space="preserve">  spacer()</w:t>
        <w:br/>
        <w:t>);</w:t>
        <w:br/>
        <w:br/>
        <w:t>// B9</w:t>
        <w:br/>
        <w:t>children.push(</w:t>
        <w:br/>
        <w:t xml:space="preserve">  h2("B9. Faculty SPOCs of at Least 2 Departments for GATE-USP 2026 (2 marks)"),</w:t>
        <w:br/>
        <w:t xml:space="preserve">  sectionNote("Fill in from your campus. Ask the HEC coordinator or department office."),</w:t>
        <w:br/>
        <w:t xml:space="preserve">  para("Department 1: _______________________________"),</w:t>
        <w:br/>
        <w:t xml:space="preserve">  para("Faculty SPOC Name: _______________________________"),</w:t>
        <w:br/>
        <w:t xml:space="preserve">  para("Email: _______________________________"),</w:t>
        <w:br/>
        <w:t xml:space="preserve">  spacer(),</w:t>
        <w:br/>
        <w:t xml:space="preserve">  para("Department 2: _______________________________"),</w:t>
        <w:br/>
        <w:t xml:space="preserve">  para("Faculty SPOC Name: _______________________________"),</w:t>
        <w:br/>
        <w:t xml:space="preserve">  para("Email: _______________________________"),</w:t>
        <w:br/>
        <w:t xml:space="preserve">  spacer()</w:t>
        <w:br/>
        <w:t>);</w:t>
        <w:br/>
        <w:br/>
        <w:t>// B10</w:t>
        <w:br/>
        <w:t>children.push(</w:t>
        <w:br/>
        <w:t xml:space="preserve">  h2("B10. Students Who Achieved GATE AIR Below 100 (At Least 2 Names) (2 marks)"),</w:t>
        <w:br/>
        <w:t xml:space="preserve">  sectionNote("Get actual names from HEC/EITP records. If no RK Valley student achieved AIR below 100, mention students with the best AIRs from your campus."),</w:t>
        <w:br/>
        <w:t xml:space="preserve">  para("Name: _______________________________"),</w:t>
        <w:br/>
        <w:t xml:space="preserve">  para("ID Number: _______________________________"),</w:t>
        <w:br/>
        <w:t xml:space="preserve">  para("Department: _______________________________"),</w:t>
        <w:br/>
        <w:t xml:space="preserve">  para("GATE AIR: _______________________________"),</w:t>
        <w:br/>
        <w:t xml:space="preserve">  spacer(),</w:t>
        <w:br/>
        <w:t xml:space="preserve">  para("Name: _______________________________"),</w:t>
        <w:br/>
        <w:t xml:space="preserve">  para("ID Number: _______________________________"),</w:t>
        <w:br/>
        <w:t xml:space="preserve">  para("Department: _______________________________"),</w:t>
        <w:br/>
        <w:t xml:space="preserve">  para("GATE AIR: _______________________________"),</w:t>
        <w:br/>
        <w:t xml:space="preserve">  spacer(),</w:t>
        <w:br/>
        <w:t xml:space="preserve">  para("Note: My own GATE 2026 result — AIR 10,424 in ECE, Top 2% nationally — achieved without coaching while pursuing two full degree programmes simultaneously."),</w:t>
        <w:br/>
        <w:t xml:space="preserve">  spacer()</w:t>
        <w:br/>
        <w:t>);</w:t>
        <w:br/>
        <w:br/>
        <w:t>// B11</w:t>
        <w:br/>
        <w:t>children.push(</w:t>
        <w:br/>
        <w:t xml:space="preserve">  h2("B11. Organisations with MoU for GATE Preparation (5 marks)"),</w:t>
        <w:br/>
        <w:t xml:space="preserve">  numbered("Sadisha Foundation — MoU for training women students in CSE for GATE. In AY 2025–26, 100 women students across four campuses (25 per campus) were supported. Training partners were GoClasses and Prepfusion. While the AIR below 100 target wasn't met for this cohort, the programme noticeably improved overall GATE performance across campuses."),</w:t>
        <w:br/>
        <w:t xml:space="preserve">  numbered("GoClasses — Training partner under the Sadisha programme. Provides structured video lectures, topic-wise tests, and doubt resolution for GATE CSE and related subjects."),</w:t>
        <w:br/>
        <w:t xml:space="preserve">  numbered("Prepfusion — Training partner under the Sadisha programme. Focused on structured study plans and previous year paper analysis."),</w:t>
        <w:br/>
        <w:t xml:space="preserve">  sectionNote("If there are other MoUs at RGUKT-AP specifically for GATE, add them here. Check with EITP Head Office for the full list."),</w:t>
        <w:br/>
        <w:t xml:space="preserve">  spacer()</w:t>
        <w:br/>
        <w:t>);</w:t>
        <w:br/>
        <w:br/>
        <w:t>// B12</w:t>
        <w:br/>
        <w:t>children.push(</w:t>
        <w:br/>
        <w:t xml:space="preserve">  h2("B12. Proposal for Sadisha Foundation — Achieving Maximum Outcome (25 marks)"),</w:t>
        <w:br/>
        <w:t xml:space="preserve">  h3("Understanding the Gap"),</w:t>
        <w:br/>
        <w:t xml:space="preserve">  para("The 2025–26 Sadisha batch had 100 students — women in CSE across four campuses. The stated target was at least one AIR below 100. That didn't happen. But the programme triggered broader campus improvement. The question is: how do we convert that indirect impact into actual AIR below 100 results in the next edition, which now covers 200 students (100 CSE + 100 ECE)?"),</w:t>
        <w:br/>
        <w:t xml:space="preserve">  h3("Root Cause Analysis"),</w:t>
        <w:br/>
        <w:t xml:space="preserve">  para("The gap between 'enrolled in a programme' and 'achieved AIR below 100' is enormous. Most programmes fail not because content is bad, but because:"),</w:t>
        <w:br/>
        <w:t xml:space="preserve">  bullet("Students don't get into preparation mindset early enough"),</w:t>
        <w:br/>
        <w:t xml:space="preserve">  bullet("No one regularly checks on individual students and intervenes when they drift"),</w:t>
        <w:br/>
        <w:t xml:space="preserve">  bullet("Mock test performance isn't analysed at a granular subject level"),</w:t>
        <w:br/>
        <w:t xml:space="preserve">  bullet("There's no peer group of similarly motivated students reinforcing preparation culture"),</w:t>
        <w:br/>
        <w:t xml:space="preserve">  h3("Proposed Solution Structure"),</w:t>
        <w:br/>
        <w:t xml:space="preserve">  para("1. Tier the 200 students immediately. Within the first two weeks, conduct a diagnostic assessment. Identify the 30–40 who have genuine potential to reach AIR below 100. Give them more intensive support — this is practical, not exclusionary."),</w:t>
        <w:br/>
        <w:t xml:space="preserve">  para("2. Assign dedicated peer mentors. From RGUKT's own GATE 2026 qualifiers, create a peer mentorship layer. Each Sadisha student gets one peer mentor — more sustainable than relying entirely on paid faculty time."),</w:t>
        <w:br/>
        <w:t xml:space="preserve">  para("3. Weekly accountability — simple and real. A 10-minute weekly WhatsApp check-in where each student reports: subjects covered, mock score from the week, one thing they're struggling with. A student coordinator compiles this and flags off-track students."),</w:t>
        <w:br/>
        <w:t xml:space="preserve">  para("4. Use GoClasses + Prepfusion strategically. Require each student to complete at least one graded test per week on the platform and submit the score to their coordinator. Platform data becomes accountability data."),</w:t>
        <w:br/>
        <w:t xml:space="preserve">  para("5. ECE batch-specific approach. ECE GATE requires longer preparation (Signals, Networks, Electronic Devices, Communications, Control Systems). Start ECE students on foundational subjects (Engineering Mathematics, Networks) from day one."),</w:t>
        <w:br/>
        <w:t xml:space="preserve">  para("6. Mock test calibration. Students take at least one official mock from GATE's own portal and GoClasses monthly from September onwards. Internal mocks calibrated against these benchmarks."),</w:t>
        <w:br/>
        <w:t xml:space="preserve">  para("7. Intensive track for AIR below 100. Identify 8–10 students (2–3 per campus) with realistic potential based on diagnostic scores. Assign direct mentorship from faculty with GATE expertise or verified high-AIR alumni with monthly subject-wise gap analysis reviews."),</w:t>
        <w:br/>
        <w:t xml:space="preserve">  spacer(),</w:t>
        <w:br/>
        <w:t xml:space="preserve">  h3("Timeline:"),</w:t>
        <w:br/>
        <w:t xml:space="preserve">  makeTable(</w:t>
        <w:br/>
        <w:t xml:space="preserve">    ["Month", "Action"],</w:t>
        <w:br/>
        <w:t xml:space="preserve">    [</w:t>
        <w:br/>
        <w:t xml:space="preserve">      ["June 2026", "Diagnostic assessment, student tiering, mentor assignment"],</w:t>
        <w:br/>
        <w:t xml:space="preserve">      ["July–August", "Foundation subjects, platform onboarding, weekly tracking starts"],</w:t>
        <w:br/>
        <w:t xml:space="preserve">      ["September–October", "Full syllabus coverage, first full mock tests"],</w:t>
        <w:br/>
        <w:t xml:space="preserve">      ["November–December", "Gap analysis from mocks, targeted subject sessions"],</w:t>
        <w:br/>
        <w:t xml:space="preserve">      ["January 2027", "Intensive revision, 2 full mocks per month"],</w:t>
        <w:br/>
        <w:t xml:space="preserve">      ["February 2027", "Final sprint, GATE exam"],</w:t>
        <w:br/>
        <w:t xml:space="preserve">    ],</w:t>
        <w:br/>
        <w:t xml:space="preserve">    [3000, 6360]</w:t>
        <w:br/>
        <w:t xml:space="preserve">  ),</w:t>
        <w:br/>
        <w:t xml:space="preserve">  spacer()</w:t>
        <w:br/>
        <w:t>);</w:t>
        <w:br/>
        <w:br/>
        <w:t>// B13</w:t>
        <w:br/>
        <w:t>children.push(</w:t>
        <w:br/>
        <w:t xml:space="preserve">  h2("B13. All Higher Education Opportunities (25 marks)"),</w:t>
        <w:br/>
        <w:t xml:space="preserve">  numbered("GATE — Graduate Aptitude Test in Engineering: Leads to M.Tech at IITs, NITs, IISc. Also used for PSU recruitment (ONGC, BHEL, Power Grid, IOCL, GAIL). Score valid 3 years. For ECE: Communications, Signal Processing, VLSI, Microelectronics, RF Engineering specialisations available at IITs. Post M.Tech career: Research, R&amp;D, PSU, academia, further studies abroad."),</w:t>
        <w:br/>
        <w:t xml:space="preserve">  numbered("GATE + Direct PhD: Students with GATE score can apply directly to IIT/IISc PhD programmes. Stipend ₹31,000–35,000/month under MHRD fellowship. Viable and faster track for research-oriented students."),</w:t>
        <w:br/>
        <w:t xml:space="preserve">  numbered("GRE + TOEFL — MS Abroad: GRE is the primary entry exam for MS in USA, Canada, Germany, Australia. Strong GRE score (320+) opens scholarships and Teaching/Research Assistantships that cover tuition and living costs. RGUKT students with strong technical skills have real competitive chances."),</w:t>
        <w:br/>
        <w:t xml:space="preserve">  numbered("CAT — MBA: Leads to IIM admissions. 99+ percentile for IIM A/B/C; 95+ for other IIMs. Covers Quantitative Ability, DILR, Verbal — requires specific 6-month prep strategy."),</w:t>
        <w:br/>
        <w:t xml:space="preserve">  numbered("GMAT — MBA Abroad: For international MBA at Harvard, Wharton, INSEAD, ISB Hyderabad. ISB increasingly accessible for Indian engineers with 2–3 years experience."),</w:t>
        <w:br/>
        <w:t xml:space="preserve">  numbered("UGC-NET/SET: For academic careers (college teaching + JRF fellowship). NET JRF qualification opens ₹31,000/month fellowship for PhD with teaching track."),</w:t>
        <w:br/>
        <w:t xml:space="preserve">  numbered("UPSC Engineering Services Examination: Central government technical roles in Indian Railways, CPWD, Defense, Telecom. ECE paper covers electronics and telecom engineering."),</w:t>
        <w:br/>
        <w:t xml:space="preserve">  numbered("ISRO, DRDO, DAE Scientist Recruitment: ISRO through ICRB exam. DRDO through DRDO CEPTAM. Best for students genuinely interested in R&amp;D."),</w:t>
        <w:br/>
        <w:t xml:space="preserve">  numbered("PSU Recruitment Through GATE: ONGC, BHEL, Power Grid, GAIL, HAL, BEL. CTC ranges ₹8–16 LPA. Stable employment with good benefits."),</w:t>
        <w:br/>
        <w:t xml:space="preserve">  numbered("State Government Technical Roles (APPSC): AP Engineering Service Exam for roles in state departments — power, water resources, infrastructure."),</w:t>
        <w:br/>
        <w:t xml:space="preserve">  numbered("Integrated PhD Programmes: IISc, IITs, IISERs offer direct B.Tech to PhD without M.Tech. Strong research background and GATE score needed."),</w:t>
        <w:br/>
        <w:t xml:space="preserve">  numbered("NIMCET — MCA at NITs: For ECE students pivoting toward software. MCA programmes at NITs are well-placed for IT careers."),</w:t>
        <w:br/>
        <w:t xml:space="preserve">  spacer(),</w:t>
        <w:br/>
        <w:t xml:space="preserve">  para("Most practical advice for RGUKT students: GATE is the primary gateway that opens the most paths — M.Tech, PhD, PSU, and abroad MS. It should be the default higher education goal unless a student has a very specific reason to pursue something else."),</w:t>
        <w:br/>
        <w:t xml:space="preserve">  spacer()</w:t>
        <w:br/>
        <w:t>);</w:t>
        <w:br/>
        <w:br/>
        <w:t>// ─── PART C ──────────────────────────────────────────────────────────────────</w:t>
        <w:br/>
        <w:t>children.push(</w:t>
        <w:br/>
        <w:t xml:space="preserve">  new Paragraph({ children: [new PageBreak()] }),</w:t>
        <w:br/>
        <w:t xml:space="preserve">  h1("PART C — PLACEMENTS &amp; INTERNSHIPS")</w:t>
        <w:br/>
        <w:t>);</w:t>
        <w:br/>
        <w:br/>
        <w:t>// C1</w:t>
        <w:br/>
        <w:t>children.push(</w:t>
        <w:br/>
        <w:t xml:space="preserve">  h2("C1. Did You Work in CDPC/TNP Cell? (4 marks)"),</w:t>
        <w:br/>
        <w:t xml:space="preserve">  para("Not in a formal registered capacity, but I contributed to placement-adjacent work consistently over the last year."),</w:t>
        <w:br/>
        <w:t xml:space="preserve">  para("I ran peer training sessions on Python, SQL, and data analytics specifically targeted at ECE batchmates who had no exposure to industry-relevant tools. Ten or more of them applied to Forage virtual internship programmes after I helped them understand the process and build their profiles. Several completed their first ever industry-facing programme through that."),</w:t>
        <w:br/>
        <w:t xml:space="preserve">  para("I also built an AI Resume Screener that is actively used by 500+ recruiters — this tool automates initial candidate shortlisting, which is directly aligned with what TNP cells do. The experience of building it taught me more about how companies actually evaluate candidates than any workshop ever could."),</w:t>
        <w:br/>
        <w:t xml:space="preserve">  para("Beyond that, I've studied EITP's placement analytics needs carefully and built a Placement &amp; Internship Analytics Dashboard as a personal project that tracks offer rates, company visit frequency, and student trends segmented by branch and CGPA band."),</w:t>
        <w:br/>
        <w:t xml:space="preserve">  spacer()</w:t>
        <w:br/>
        <w:t>);</w:t>
        <w:br/>
        <w:br/>
        <w:t>// C2</w:t>
        <w:br/>
        <w:t>children.push(</w:t>
        <w:br/>
        <w:t xml:space="preserve">  h2("C2. Staff Members in Placements &amp; Internship Cell (1 mark)"),</w:t>
        <w:br/>
        <w:t xml:space="preserve">  sectionNote("Get from your campus TNP/CDPC office."),</w:t>
        <w:br/>
        <w:t xml:space="preserve">  para("Name: _______________________________"),</w:t>
        <w:br/>
        <w:t xml:space="preserve">  para("Designation: _______________________________"),</w:t>
        <w:br/>
        <w:t xml:space="preserve">  para("Email: _______________________________"),</w:t>
        <w:br/>
        <w:t xml:space="preserve">  spacer()</w:t>
        <w:br/>
        <w:t>);</w:t>
        <w:br/>
        <w:br/>
        <w:t>// C3</w:t>
        <w:br/>
        <w:t>children.push(</w:t>
        <w:br/>
        <w:t xml:space="preserve">  h2("C3. Activities Done by CDPC/TNP Cell (5 marks)"),</w:t>
        <w:br/>
        <w:t xml:space="preserve">  bullet("Pre-placement talks: Companies invited to address students before a formal drive, giving students a chance to understand company culture and role."),</w:t>
        <w:br/>
        <w:t xml:space="preserve">  bullet("Aptitude and communication training: Sessions conducted before placement season covering quantitative aptitude, logical reasoning, and basic communication skills."),</w:t>
        <w:br/>
        <w:t xml:space="preserve">  bullet("Resume review: Faculty or senior students review resumes before they're sent to companies."),</w:t>
        <w:br/>
        <w:t xml:space="preserve">  bullet("Mock interviews: Practice technical and HR interviews conducted periodically."),</w:t>
        <w:br/>
        <w:t xml:space="preserve">  bullet("Company outreach: TNP staff send emails and make calls to companies inviting them for campus drives."),</w:t>
        <w:br/>
        <w:t xml:space="preserve">  bullet("Offer letter and documentation management: Once selections are made, the cell manages all offer-related paperwork."),</w:t>
        <w:br/>
        <w:t xml:space="preserve">  bullet("Internship coordination: Managing communication between students and companies for internship programmes."),</w:t>
        <w:br/>
        <w:t xml:space="preserve">  bullet("Skill/career survey: Periodic surveys to understand student career preferences and readiness levels."),</w:t>
        <w:br/>
        <w:t xml:space="preserve">  spacer()</w:t>
        <w:br/>
        <w:t>);</w:t>
        <w:br/>
        <w:br/>
        <w:t>// C4</w:t>
        <w:br/>
        <w:t>children.push(</w:t>
        <w:br/>
        <w:t xml:space="preserve">  h2("C4. Infosys Pool Campus Drive Through APITA — Strategy That Worked (10 marks)"),</w:t>
        <w:br/>
        <w:t xml:space="preserve">  para("The Infosys APITA pool campus drive was a women-focused recruitment initiative, which meant the preparation strategy had to be targeted differently than a general campus drive."),</w:t>
        <w:br/>
        <w:t xml:space="preserve">  h3("What Worked:"),</w:t>
        <w:br/>
        <w:t xml:space="preserve">  para("Focused eligibility filtering first: The TNP cell filtered women students who met Infosys's CGPA cutoff and branch eligibility before doing anything else. Starting with a clean, accurate eligible list prevented last-minute confusion."),</w:t>
        <w:br/>
        <w:t xml:space="preserve">  para("Aptitude preparation specifically for Infosys pattern: Infosys has a well-documented test pattern — InfyTQ certification or the standard campus drive format. Students who cleared the drive prepared specifically for quantitative aptitude, verbal, and logical reasoning as per Infosys pattern, not generic aptitude."),</w:t>
        <w:br/>
        <w:t xml:space="preserve">  para("Communication skill work in Telugu-background context: RGUKT students often have strong technical foundations but struggle with English communication in an interview context. Targeted communication preparation — even 2–3 sessions on structuring answers and handling stress questions — made a real difference."),</w:t>
        <w:br/>
        <w:t xml:space="preserve">  para("Peer preparation groups: Students preparing together, sharing practice questions, and doing mock HR rounds with each other — this informal peer prep often matters more than formal sessions."),</w:t>
        <w:br/>
        <w:t xml:space="preserve">  h3("Recommendation for Next Time:"),</w:t>
        <w:br/>
        <w:t xml:space="preserve">  para("Create a WhatsApp group for eligible candidates as soon as a drive is announced. Share company-specific resources in that group. Designate two or three students who've already prepared to help others with the aptitude pattern. The TNP cell can structure this with minimal effort."),</w:t>
        <w:br/>
        <w:t xml:space="preserve">  spacer()</w:t>
        <w:br/>
        <w:t>);</w:t>
        <w:br/>
        <w:br/>
        <w:t>// C5</w:t>
        <w:br/>
        <w:t>children.push(</w:t>
        <w:br/>
        <w:t xml:space="preserve">  h2("C5. Any 5 Campus Recruitment Drives at Your Campus (20 marks)"),</w:t>
        <w:br/>
        <w:t xml:space="preserve">  sectionNote("Fill from actual TNP cell records at RK Valley. The companies listed below are typical for RGUKT — replace with actual drives that happened at your campus with real selection counts."),</w:t>
        <w:br/>
        <w:t xml:space="preserve">  spacer(),</w:t>
        <w:br/>
        <w:t xml:space="preserve">  makeTable(</w:t>
        <w:br/>
        <w:t xml:space="preserve">    ["Company", "Eligible Branches", "Month", "CTC", "Selections"],</w:t>
        <w:br/>
        <w:t xml:space="preserve">    [</w:t>
        <w:br/>
        <w:t xml:space="preserve">      ["TCS", "CSE, ECE, EEE", "November 2025", "3.36–7 LPA", "[Fill]"],</w:t>
        <w:br/>
        <w:t xml:space="preserve">      ["Infosys", "CSE, ECE", "December 2025", "3.6–6.5 LPA", "[Fill]"],</w:t>
        <w:br/>
        <w:t xml:space="preserve">      ["Wipro", "CSE, ECE, EEE", "January 2026", "3.5–6.5 LPA", "[Fill]"],</w:t>
        <w:br/>
        <w:t xml:space="preserve">      ["Capgemini", "CSE, ECE, Mech", "February 2026", "4–6.5 LPA", "[Fill]"],</w:t>
        <w:br/>
        <w:t xml:space="preserve">      ["Tech Mahindra", "CSE, ECE", "March 2026", "3.25–4 LPA", "[Fill]"],</w:t>
        <w:br/>
        <w:t xml:space="preserve">    ],</w:t>
        <w:br/>
        <w:t xml:space="preserve">    [2200, 2000, 1500, 1500, 2160]</w:t>
        <w:br/>
        <w:t xml:space="preserve">  ),</w:t>
        <w:br/>
        <w:t xml:space="preserve">  spacer()</w:t>
        <w:br/>
        <w:t>);</w:t>
        <w:br/>
        <w:br/>
        <w:t>// C6</w:t>
        <w:br/>
        <w:t>children.push(</w:t>
        <w:br/>
        <w:t xml:space="preserve">  h2("C6. Five Platforms for Internship/Job Opportunities Beyond LinkedIn (10 marks)"),</w:t>
        <w:br/>
        <w:t xml:space="preserve">  numbered("Internshala (internshala.com): India's largest internship platform. Lists 50,000+ internships at any given time across all domains — tech, marketing, finance, content, research. Free for students. Has a dedicated engineering section. Also runs training programmes with internship certificates. Particularly useful for 1st and 2nd year students building their first portfolio."),</w:t>
        <w:br/>
        <w:t xml:space="preserve">  numbered("Unstop (unstop.com, formerly Dare2Compete): Best platform for hackathons, case competitions, quizzes, and hiring challenges. Companies like Deloitte, McKinsey, Goldman Sachs, and startups run hiring challenges here. RGUKT students who participate in Unstop challenges build visible performance records that recruitment teams actually look at. Also has direct internship and job listings."),</w:t>
        <w:br/>
        <w:t xml:space="preserve">  numbered("Wellfound (wellfound.com, formerly AngelList Talent): The go-to platform for startup jobs and internships globally. Transparent about equity, role scope, and company stage. Has a strong remote-first culture. Highly relevant for students interested in product, engineering, or business roles at early-stage startups."),</w:t>
        <w:br/>
        <w:t xml:space="preserve">  numbered("Naukri.com: India's largest job board by volume. Enormous listing database for freshers and experienced professionals. Has a specific fresher section and runs NaukriCampus for college students. The platform's resume scoring and recruiter visibility features are useful for students who want to be found rather than just apply."),</w:t>
        <w:br/>
        <w:t xml:space="preserve">  numbered("Forage (theforage.com): Free virtual work experience programmes offered by Fortune 500 companies globally — JPMorgan, McKinsey, Goldman Sachs, Deloitte, Google, BCG, and more. Not a job board, but completing Forage programmes gives students industry-facing experience certificates genuinely respected by recruiters. I completed six such programmes and ranked Top 1% in JPMorgan and Deloitte."),</w:t>
        <w:br/>
        <w:t xml:space="preserve">  spacer()</w:t>
        <w:br/>
        <w:t>);</w:t>
        <w:br/>
        <w:br/>
        <w:t>// C7</w:t>
        <w:br/>
        <w:t>children.push(</w:t>
        <w:br/>
        <w:t xml:space="preserve">  h2("C7. National Apprenticeship Promotion Scheme (NAPS) — Details and RGUKT Applicability (10 marks)"),</w:t>
        <w:br/>
        <w:t xml:space="preserve">  h3("What it is:"),</w:t>
        <w:br/>
        <w:t xml:space="preserve">  para("NAPS is a Government of India scheme run by the Ministry of Skill Development and Entrepreneurship. It incentivises companies to hire apprentices under the Apprentices Act 1961 by sharing 25% of the prescribed stipend (up to ₹1,500/month per apprentice) with the employer. The goal is to bridge the gap between formal education and industry skills through structured on-the-job training."),</w:t>
        <w:br/>
        <w:t xml:space="preserve">  h3("Key Features:"),</w:t>
        <w:br/>
        <w:t xml:space="preserve">  bullet("Apprenticeship duration: 6 months to 3 years depending on the trade and qualification level"),</w:t>
        <w:br/>
        <w:t xml:space="preserve">  bullet("Graduate and technician apprenticeship categories specifically for engineering degree holders"),</w:t>
        <w:br/>
        <w:t xml:space="preserve">  bullet("Companies must provide training in a real work environment, not just classroom learning"),</w:t>
        <w:br/>
        <w:t xml:space="preserve">  bullet("Students receive a monthly stipend (minimum ₹9,000 for degree-level apprentices at many companies)"),</w:t>
        <w:br/>
        <w:t xml:space="preserve">  bullet("Completion results in a nationally recognised certificate"),</w:t>
        <w:br/>
        <w:t xml:space="preserve">  h3("How it Applies to RGUKT:"),</w:t>
        <w:br/>
        <w:t xml:space="preserve">  para("RGUKT engineering students can register on the National Apprenticeship Training Portal (apprenticeshipindia.gov.in) and apply for graduate apprenticeships across sectors — manufacturing, IT, power, telecom, chemicals, and more. Companies in Andhra Pradesh including APSPDCL, DISCOMs, Vizag Steel, Hindustan Shipyard, and DRDO establishments regularly hire graduate apprentices under NAPS."),</w:t>
        <w:br/>
        <w:t xml:space="preserve">  para("For EITP specifically: EITP can build a structured pipeline where TNP cells identify students who want 6-month apprenticeship experience during their 4th year, match them to registered employers through the portal, and manage the paperwork. This creates an alternative to traditional internships for students from core branches (ECE, Civil, Mechanical) who often struggle to find IT internships. Most RGUKT students aren't aware this portal exists — a one-page guide and a single workshop session would drive significant registrations."),</w:t>
        <w:br/>
        <w:t xml:space="preserve">  spacer()</w:t>
        <w:br/>
        <w:t>);</w:t>
        <w:br/>
        <w:br/>
        <w:t>// C8</w:t>
        <w:br/>
        <w:t>children.push(</w:t>
        <w:br/>
        <w:t xml:space="preserve">  h2("C8. National Apprenticeship Training Scheme (NATS) — Details and RGUKT Applicability (10 marks)"),</w:t>
        <w:br/>
        <w:t xml:space="preserve">  h3("What it is:"),</w:t>
        <w:br/>
        <w:t xml:space="preserve">  para("NATS is managed by the Ministry of Education (formerly MHRD) through the Board of Apprenticeship Training (BOAT). Unlike NAPS which covers all industries, NATS is specifically oriented toward technical education graduates — engineering and diploma holders. It runs through regional BOAT offices and focuses on one-year practical training."),</w:t>
        <w:br/>
        <w:t xml:space="preserve">  h3("Key Features:"),</w:t>
        <w:br/>
        <w:t xml:space="preserve">  bullet("One-year training at industries or government establishments"),</w:t>
        <w:br/>
        <w:t xml:space="preserve">  bullet("Stipend paid by the employer and partly supported by government"),</w:t>
        <w:br/>
        <w:t xml:space="preserve">  bullet("Employers include PSUs, government departments, manufacturing units, and tech companies"),</w:t>
        <w:br/>
        <w:t xml:space="preserve">  bullet("Students must register on the NATS portal (nats.education.gov.in)"),</w:t>
        <w:br/>
        <w:t xml:space="preserve">  bullet("Completion certificate carries weight in PSU interviews"),</w:t>
        <w:br/>
        <w:t xml:space="preserve">  h3("How it Applies to RGUKT:"),</w:t>
        <w:br/>
        <w:t xml:space="preserve">  para("NATS is particularly relevant for final year students who want structured industry exposure before graduation. RGUKT students in ECE, EEE, Civil, and Mechanical can access training at BHEL, APSPDCL, Vizag Steel, DRDO, and regional government departments."),</w:t>
        <w:br/>
        <w:t xml:space="preserve">  para("EITP can maintain a list of NATS-registered employers in Andhra Pradesh and Telangana. During the 4th year academic calendar, TNP cells can run a batch registration drive for interested students on the NATS portal. A student who completes NATS training gets a credential that meaningfully improves their PSU and core sector placement prospects. The NATS portal is not very user-friendly — EITP interns can create a simple step-by-step registration guide specific to RGUKT students."),</w:t>
        <w:br/>
        <w:t xml:space="preserve">  spacer()</w:t>
        <w:br/>
        <w:t>);</w:t>
        <w:br/>
        <w:br/>
        <w:t>// C9</w:t>
        <w:br/>
        <w:t>children.push(</w:t>
        <w:br/>
        <w:t xml:space="preserve">  h2("C9. Prime Minister Internship Scheme — Details and RGUKT Applicability (10 marks)"),</w:t>
        <w:br/>
        <w:t xml:space="preserve">  h3("What it is:"),</w:t>
        <w:br/>
        <w:t xml:space="preserve">  para("Launched in 2024 as part of the Union Budget, the PM Internship Scheme aims to provide 1 crore internships over 5 years at India's top 500 companies. It targets youth aged 21–24, specifically from economically weaker sections or those without access to formal employment."),</w:t>
        <w:br/>
        <w:t xml:space="preserve">  h3("Key Features:"),</w:t>
        <w:br/>
        <w:t xml:space="preserve">  bullet("12-month internship at companies like TCS, Infosys, Mahindra, Reliance, L&amp;T, ONGC, and more"),</w:t>
        <w:br/>
        <w:t xml:space="preserve">  bullet("Monthly stipend of ₹5,000 (₹500 from company + ₹4,500 from government via DBT)"),</w:t>
        <w:br/>
        <w:t xml:space="preserve">  bullet("One-time grant of ₹6,000 for incidental expenses"),</w:t>
        <w:br/>
        <w:t xml:space="preserve">  bullet("Companies bear only ₹500/month, making them willing to participate at scale"),</w:t>
        <w:br/>
        <w:t xml:space="preserve">  bullet("Insurance coverage provided; Portal: pminternship.mca.gov.in"),</w:t>
        <w:br/>
        <w:t xml:space="preserve">  h3("Eligibility for RGUKT Students:"),</w:t>
        <w:br/>
        <w:t xml:space="preserve">  para("Students in 3rd or 4th year (or recent graduates) aged 21–24 who meet income criteria are eligible. Engineering students can apply for internships in their technical domain or cross-functional roles at large companies."),</w:t>
        <w:br/>
        <w:t xml:space="preserve">  h3("How EITP Can Leverage This:"),</w:t>
        <w:br/>
        <w:t xml:space="preserve">  para("EITP should run a dedicated drive at the start of the academic year to help students register and apply on the PM Internship portal. The government is pushing companies to participate — the demand side is covered. The gap is student awareness at institutions like RGUKT. Specific action: EITP interns map eligible RGUKT students (year, age, income criteria) and run a batch registration session, then follow up weekly during the application period."),</w:t>
        <w:br/>
        <w:t xml:space="preserve">  spacer()</w:t>
        <w:br/>
        <w:t>);</w:t>
        <w:br/>
        <w:br/>
        <w:t>// C10</w:t>
        <w:br/>
        <w:t>children.push(</w:t>
        <w:br/>
        <w:t xml:space="preserve">  h2("C10. AICTE Internship Portal — Features and RGUKT Applicability (10 marks)"),</w:t>
        <w:br/>
        <w:t xml:space="preserve">  h3("What it is:"),</w:t>
        <w:br/>
        <w:t xml:space="preserve">  para("AICTE's internship portal (internship.aicte-india.org) is a centralised platform under the All India Council for Technical Education for connecting engineering students with internship opportunities across registered companies."),</w:t>
        <w:br/>
        <w:t xml:space="preserve">  h3("Key Features:"),</w:t>
        <w:br/>
        <w:t xml:space="preserve">  bullet("Institutions register students on the portal centrally"),</w:t>
        <w:br/>
        <w:t xml:space="preserve">  bullet("Companies including startups and SMEs post internship opportunities with defined duration, stipend, and eligibility"),</w:t>
        <w:br/>
        <w:t xml:space="preserve">  bullet("Students can browse, apply, and track applications"),</w:t>
        <w:br/>
        <w:t xml:space="preserve">  bullet("AICTE mandates internship completion as part of B.Tech curriculum — this portal is the official channel"),</w:t>
        <w:br/>
        <w:t xml:space="preserve">  bullet("Completion leads to credit recognition; portal is free for both students and companies"),</w:t>
        <w:br/>
        <w:t xml:space="preserve">  h3("RGUKT Applicability:"),</w:t>
        <w:br/>
        <w:t xml:space="preserve">  para("AICTE mandates a minimum 4-week internship for B.Tech students. RGUKT students need to fulfil this through the official AICTE portal for credit recognition. Beyond compliance, the portal lists genuine internship opportunities including some from government organisations and AICTE-partnered companies that don't appear on commercial job boards."),</w:t>
        <w:br/>
        <w:t xml:space="preserve">  para("EITP action: Ensure all RGUKT students are registered on the AICTE internship portal by their 2nd year. Build a simple monitoring system where EITP interns track which students have completed internship registration — this prevents last-minute scrambles in final year."),</w:t>
        <w:br/>
        <w:t xml:space="preserve">  spacer()</w:t>
        <w:br/>
        <w:t>);</w:t>
        <w:br/>
        <w:br/>
        <w:t>// C11</w:t>
        <w:br/>
        <w:t>children.push(</w:t>
        <w:br/>
        <w:t xml:space="preserve">  h2("C11. Government of AP — Naipunyam Portal Features and RGUKT Applicability (10 marks)"),</w:t>
        <w:br/>
        <w:t xml:space="preserve">  h3("What it is:"),</w:t>
        <w:br/>
        <w:t xml:space="preserve">  para("Naipunyam is the Andhra Pradesh government's skill development and employment portal under the AP State Skill Development Corporation (APSSDC). It connects students and job seekers with training programmes, certification courses, and employment opportunities within Andhra Pradesh."),</w:t>
        <w:br/>
        <w:t xml:space="preserve">  h3("Key Features:"),</w:t>
        <w:br/>
        <w:t xml:space="preserve">  bullet("Free skill training programmes in IT, manufacturing, logistics, BFSI, and retail"),</w:t>
        <w:br/>
        <w:t xml:space="preserve">  bullet("Training conducted through APSSDC's network of skill centres across AP"),</w:t>
        <w:br/>
        <w:t xml:space="preserve">  bullet("Certification recognised by AP government and partnered employers"),</w:t>
        <w:br/>
        <w:t xml:space="preserve">  bullet("Job placement support post-certification"),</w:t>
        <w:br/>
        <w:t xml:space="preserve">  bullet("Scholarship and stipend support for students from economically weaker backgrounds"),</w:t>
        <w:br/>
        <w:t xml:space="preserve">  bullet("Specifically focused on students from rural and semi-urban AP — directly matching RGUKT's student demographic"),</w:t>
        <w:br/>
        <w:t xml:space="preserve">  h3("RGUKT Applicability:"),</w:t>
        <w:br/>
        <w:t xml:space="preserve">  para("RGUKT is a state government institution for students from rural AP backgrounds. Naipunyam is a state government resource explicitly designed for this demographic — the alignment is almost perfect. EITP should create a direct pipeline: identify RGUKT students struggling to find placement through campus drives, register them on Naipunyam for relevant skill training, and track whether they complete certification and find employment through the portal."),</w:t>
        <w:br/>
        <w:t xml:space="preserve">  para("Practical barrier: Most RGUKT students don't know Naipunyam exists. A one-page guide in Telugu + English, distributed through WhatsApp, would drive immediate registrations."),</w:t>
        <w:br/>
        <w:t xml:space="preserve">  spacer()</w:t>
        <w:br/>
        <w:t>);</w:t>
        <w:br/>
        <w:br/>
        <w:t>// C12</w:t>
        <w:br/>
        <w:t>children.push(</w:t>
        <w:br/>
        <w:t xml:space="preserve">  h2("C12. APSCHE Internship Portal Features and RGUKT Applicability (10 marks)"),</w:t>
        <w:br/>
        <w:t xml:space="preserve">  h3("What it is:"),</w:t>
        <w:br/>
        <w:t xml:space="preserve">  para("The Andhra Pradesh State Council of Higher Education (APSCHE) has developed an internship portal to standardise and facilitate internships for students across AP's higher education institutions."),</w:t>
        <w:br/>
        <w:t xml:space="preserve">  h3("Key Features:"),</w:t>
        <w:br/>
        <w:t xml:space="preserve">  bullet("College registration and student enrollment managed centrally"),</w:t>
        <w:br/>
        <w:t xml:space="preserve">  bullet("Companies empanel on the portal to offer internships to AP students"),</w:t>
        <w:br/>
        <w:t xml:space="preserve">  bullet("Academic credit recognition for completed internships"),</w:t>
        <w:br/>
        <w:t xml:space="preserve">  bullet("Progress tracking for institutions, students, and companies"),</w:t>
        <w:br/>
        <w:t xml:space="preserve">  bullet("Reporting mechanism for state-level internship outcome data"),</w:t>
        <w:br/>
        <w:t xml:space="preserve">  h3("RGUKT Applicability:"),</w:t>
        <w:br/>
        <w:t xml:space="preserve">  para("Since RGUKT comes under APSCHE's jurisdiction, student internships completed through this portal automatically qualify for credit recognition without additional paperwork. EITP should establish a direct integration: TNP cells at each campus ensure all students who do formal internships register the experience on APSCHE's portal. This builds an institutional record of internship outcomes that RGUKT can use to demonstrate industry engagement."),</w:t>
        <w:br/>
        <w:t xml:space="preserve">  sectionNote("Verify specific portal URL and current features from apsche.ap.gov.in before submitting, as the portal may have been updated."),</w:t>
        <w:br/>
        <w:t xml:space="preserve">  spacer()</w:t>
        <w:br/>
        <w:t>);</w:t>
        <w:br/>
        <w:br/>
        <w:t>// C13</w:t>
        <w:br/>
        <w:t>children.push(</w:t>
        <w:br/>
        <w:t xml:space="preserve">  h2("C13. Skill Census — Insights and Digital Skill Passport (20 marks)"),</w:t>
        <w:br/>
        <w:t xml:space="preserve">  h3("Why the Last Skill Census Didn't Work — Honest Assessment"),</w:t>
        <w:br/>
        <w:t xml:space="preserve">  para("Skill censuses fail for predictable reasons. The data collection happens but the analysis doesn't. Or the analysis happens but the findings don't reach anyone who can act on them. Or — most commonly — the questions asked don't map to what employers actually need, so the data is technically collected but strategically useless."),</w:t>
        <w:br/>
        <w:t xml:space="preserve">  para("The other failure mode: students self-report skills they don't actually have, or underreport skills because they don't know the right terminology. A student who's built an ML model in Python might not say 'I have machine learning skills' because they've never heard the term used the way industry uses it."),</w:t>
        <w:br/>
        <w:t xml:space="preserve">  h3("How to Run a Skill Census That Actually Works:"),</w:t>
        <w:br/>
        <w:t xml:space="preserve">  para("Step 1 — Design the instrument properly. Don't ask 'Do you know Python?' Ask 'Can you write a function in Python that takes a list and returns its average?' Self-reported binary yes/no skill questions are useless. Situational or project-evidence-based questions are far more accurate."),</w:t>
        <w:br/>
        <w:t xml:space="preserve">  para("Step 2 — Make it short. A 40-question form with a 5-point Likert scale produces 60% dropout. 15 focused questions, max 10 minutes to complete."),</w:t>
        <w:br/>
        <w:t xml:space="preserve">  para("Step 3 — Run it as a test, not a survey. For technical skills, instead of asking 'do you know SQL,' give a 3-question SQL mini-test. The score is the census data. This can be done through Google Forms with score tracking."),</w:t>
        <w:br/>
        <w:t xml:space="preserve">  para("Step 4 — Analyse at the right level. Not just 'how many students know Python' but: which departments, which year groups, which specific sub-skills are gaps, and what's the correlation between skill level and placement outcomes."),</w:t>
        <w:br/>
        <w:t xml:space="preserve">  para("Step 5 — Close the feedback loop. Within 2 weeks of analysis, share department-level insights with TNP coordinators and faculty heads."),</w:t>
        <w:br/>
        <w:t xml:space="preserve">  h3("Digital Skill Passport — What It Should Be:"),</w:t>
        <w:br/>
        <w:t xml:space="preserve">  para("A Digital Skill Passport is a living, verifiable record of a student's skills — not a static self-declaration. For RGUKT, each student gets a profile with three layers:"),</w:t>
        <w:br/>
        <w:t xml:space="preserve">  bullet("Core academic record (CGPA, branch, courses, projects)"),</w:t>
        <w:br/>
        <w:t xml:space="preserve">  bullet("Verified certifications (uploaded and cross-checked against issuer — Coursera, NPTEL, Google, IBM etc.)"),</w:t>
        <w:br/>
        <w:t xml:space="preserve">  bullet("Assessed skill scores (from skill census tests and standardised campus assessments)"),</w:t>
        <w:br/>
        <w:t xml:space="preserve">  para("The passport updates through the degree, not just at graduation. When a student completes a NASSCOM course, it's added. When they clear an NPTEL certification, it's added. When they complete a campus skill assessment, the score is added."),</w:t>
        <w:br/>
        <w:t xml:space="preserve">  para("At the employer side, companies visiting for campus drives see a structured summary of the student's skill passport rather than relying entirely on a resume. This helps companies make better shortlisting decisions and helps students from non-elite campuses compete on demonstrated skills rather than institutional brand alone."),</w:t>
        <w:br/>
        <w:t xml:space="preserve">  para("Technology stack: A well-designed Notion database or Airtable can function as a Skill Passport registry for 5,000 students. If budget allows, a simple web portal with individual student logins is a 3-month project for a skilled full-stack developer. I personally have the technical background to design and partially build this system."),</w:t>
        <w:br/>
        <w:t xml:space="preserve">  spacer()</w:t>
        <w:br/>
        <w:t>);</w:t>
        <w:br/>
        <w:br/>
        <w:t>// C14</w:t>
        <w:br/>
        <w:t>children.push(</w:t>
        <w:br/>
        <w:t xml:space="preserve">  h2("C14. Competitive Examinations in Government Domain (25 marks)"),</w:t>
        <w:br/>
        <w:t xml:space="preserve">  h3("AP State Government:"),</w:t>
        <w:br/>
        <w:t xml:space="preserve">  bullet("APPSC Group 1: Deputy Collector, DSP, RTO, Sub-Registrar. Prelims + Mains + Interview. 4–5 years consistent prep needed."),</w:t>
        <w:br/>
        <w:t xml:space="preserve">  bullet("APPSC Group 2: Assistant Commercial Tax Officer, Municipal Supervisor. Prelims + Mains. 2–3 years prep."),</w:t>
        <w:br/>
        <w:t xml:space="preserve">  bullet("APPSC Group 4: Junior Assistant, Typist, Junior Steno. Diploma/degree level. Quicker to clear."),</w:t>
        <w:br/>
        <w:t xml:space="preserve">  bullet("AP Engineering Services: State-level technical roles in AP government departments. ECE, Civil, Mech, EEE relevant. Written + interview."),</w:t>
        <w:br/>
        <w:t xml:space="preserve">  bullet("AP Grama Volunteer/Municipal Services: Entry-level roles for students from rural backgrounds wanting early government employment."),</w:t>
        <w:br/>
        <w:t xml:space="preserve">  h3("Central Government:"),</w:t>
        <w:br/>
        <w:t xml:space="preserve">  bullet("UPSC Civil Services (IAS/IPS/IFS): Most prestigious government exam. 3-stage: Prelims + Mains + Interview. 1–2% selection rate. 3–5 years of preparation for realistic chances."),</w:t>
        <w:br/>
        <w:t xml:space="preserve">  bullet("UPSC Engineering Services Examination (IES/ESE): Technical roles in Indian Railways, CPWD, Defense, Telecom. ECE paper covers electronics and telecom engineering."),</w:t>
        <w:br/>
        <w:t xml:space="preserve">  bullet("SSC CGL (Combined Graduate Level): Tax Inspector, Auditor, Inspector of Central Excise. Can be cleared in 6–12 months focused prep."),</w:t>
        <w:br/>
        <w:t xml:space="preserve">  bullet("SSC CHSL: Lower Division Clerk, Postal Assistant, Sorting Assistant. Relatively faster to clear."),</w:t>
        <w:br/>
        <w:t xml:space="preserve">  bullet("RRB JE (Junior Engineer): Technical roles in Indian Railways. ECE/EEE relevant. CTC ~₹35,000+/month + allowances."),</w:t>
        <w:br/>
        <w:t xml:space="preserve">  h3("Banking:"),</w:t>
        <w:br/>
        <w:t xml:space="preserve">  bullet("IBPS PO: Probationary Officer at public sector banks. CTC ₹8–10 LPA. Prelims + Mains + Interview."),</w:t>
        <w:br/>
        <w:t xml:space="preserve">  bullet("IBPS Clerk: Bank Clerk positions. Good stability. Prelims + Mains."),</w:t>
        <w:br/>
        <w:t xml:space="preserve">  bullet("IBPS SO (IT): Specifically for IT officers at banks. Highly relevant for CS/ECE students."),</w:t>
        <w:br/>
        <w:t xml:space="preserve">  bullet("SBI PO/SBI Clerk: Most prestigious bank exams. Slightly harder than IBPS equivalents."),</w:t>
        <w:br/>
        <w:t xml:space="preserve">  bullet("RBI Grade B Officer: Highest paying banking exam. Phase 1 + Phase 2 + Interview."),</w:t>
        <w:br/>
        <w:t xml:space="preserve">  bullet("NABARD Grade A: National Bank for Agriculture and Rural Development. Officer positions. Excellent fit for RGUKT's rural development mission alignment."),</w:t>
        <w:br/>
        <w:t xml:space="preserve">  h3("Defense:"),</w:t>
        <w:br/>
        <w:t xml:space="preserve">  bullet("CDS (Combined Defence Services): Graduation-level entry into Army, Navy, Air Force as officers. Physical fitness + written exam + SSB interview."),</w:t>
        <w:br/>
        <w:t xml:space="preserve">  bullet("AFCAT (Air Force Common Admission Test): Officer entry in Indian Air Force. Technical branch highly relevant for ECE students."),</w:t>
        <w:br/>
        <w:t xml:space="preserve">  bullet("Technical Entry Scheme (Army/Navy): Engineering graduates can apply for Technical Officer roles directly."),</w:t>
        <w:br/>
        <w:t xml:space="preserve">  h3("Research &amp; Specialised:"),</w:t>
        <w:br/>
        <w:t xml:space="preserve">  bullet("DRDO CEPTAM: Technical and scientist roles at DRDO. Multiple papers, various technical domains."),</w:t>
        <w:br/>
        <w:t xml:space="preserve">  bullet("ISRO Scientist/Engineer: Through ICRB exam. ECE students can appear for electronics/avionics roles."),</w:t>
        <w:br/>
        <w:t xml:space="preserve">  bullet("DAE OCES: Advanced technical roles at BARC, IGCAR. GATE score based."),</w:t>
        <w:br/>
        <w:t xml:space="preserve">  bullet("ECIL, BEL, BHEL, HAL, BEML: PSU recruitment through GATE or through their own written tests + interview."),</w:t>
        <w:br/>
        <w:t xml:space="preserve">  spacer(),</w:t>
        <w:br/>
        <w:t xml:space="preserve">  para("Exam Preparation Advice: Students should decide their track by 3rd year. Combining SSC + IBPS prep is feasible (overlapping syllabus). UPSC requires exclusive dedication. The biggest mistake is preparing for everything simultaneously and cracking nothing.", { italics: true }),</w:t>
        <w:br/>
        <w:t xml:space="preserve">  spacer()</w:t>
        <w:br/>
        <w:t>);</w:t>
        <w:br/>
        <w:br/>
        <w:t>// C15</w:t>
        <w:br/>
        <w:t>children.push(</w:t>
        <w:br/>
        <w:t xml:space="preserve">  h2("C15. Scholarships — Reliance, Siemens, NXP WIT — Better Implementation (10 marks)"),</w:t>
        <w:br/>
        <w:t xml:space="preserve">  para("The zero selections in NXP Women in Technology fellowship is a solvable problem. These scholarship programmes require not just awareness but a quality application — profile building, essays, recommendation letters, and sometimes interviews. Most students don't know how to do any of those things."),</w:t>
        <w:br/>
        <w:t xml:space="preserve">  h3("What Needs to Change:"),</w:t>
        <w:br/>
        <w:t xml:space="preserve">  para("First, change the timing of awareness. Don't announce the scholarship when the deadline is two weeks away. Identify these opportunities at the start of the academic year and do a calendar-aligned rollout. NXP WIT applicants need 6–8 weeks minimum to write a strong application."),</w:t>
        <w:br/>
        <w:t xml:space="preserve">  para("Second, create dedicated application support. Engineering students from rural Telugu-medium backgrounds are technically capable but struggle to write compelling English-language essays about their leadership, impact, and aspirations. Run a 2-session workshop: session one on what the scholarship committee is looking for, session two on drafting and reviewing the application. EITP interns can run this."),</w:t>
        <w:br/>
        <w:t xml:space="preserve">  para("Third, build a scholarship success database. Every student who has previously received Reliance, Siemens, or NXP scholarships should be in a contact list that EITP can reach out to as mentors for next year's applicants."),</w:t>
        <w:br/>
        <w:t xml:space="preserve">  para("Fourth, specific to NXP WIT: Targeted outreach to women students in ECE and CSE departments, with an application review session specific to NXP's criteria, should realistically convert zero selections to 3–5 selections in the next round."),</w:t>
        <w:br/>
        <w:t xml:space="preserve">  spacer()</w:t>
        <w:br/>
        <w:t>);</w:t>
        <w:br/>
        <w:br/>
        <w:t>// C16</w:t>
        <w:br/>
        <w:t>children.push(</w:t>
        <w:br/>
        <w:t xml:space="preserve">  h2("C16. India Skills Competition 2026 — Improving Outcomes (10 marks)"),</w:t>
        <w:br/>
        <w:t xml:space="preserve">  para("The gap between maximum registrations and effective participation points to a structural problem: students register without understanding what the competition actually tests. They show up, realise it's far more specialised than expected, and underperform — not because they lack talent but because they weren't prepared for the specific format."),</w:t>
        <w:br/>
        <w:t xml:space="preserve">  h3("Recommendations:"),</w:t>
        <w:br/>
        <w:t xml:space="preserve">  para("One: Before registration drives, run a 1-hour orientation session showing students exactly what each India Skills category tests, what past winners prepared, and what the actual competition day looks like. Informed registrations beat maximum registrations."),</w:t>
        <w:br/>
        <w:t xml:space="preserve">  para("Two: For students who show up for the orientation, create a preparation group. Find faculty or an industry contact who knows the specific skill domain and schedule 4–6 focused practice sessions before regionals."),</w:t>
        <w:br/>
        <w:t xml:space="preserve">  para("Three: Document what this year's top RGUKT performers did — their preparation strategy, practice routine, and focus areas. This becomes the playbook for next year's participants."),</w:t>
        <w:br/>
        <w:t xml:space="preserve">  para("Four: Celebrate the students who reached regionals and nationals visibly — EITP social media, college events. A culture of recognition builds more participants next year."),</w:t>
        <w:br/>
        <w:t xml:space="preserve">  spacer()</w:t>
        <w:br/>
        <w:t>);</w:t>
        <w:br/>
        <w:br/>
        <w:t>// C17</w:t>
        <w:br/>
        <w:t>children.push(</w:t>
        <w:br/>
        <w:t xml:space="preserve">  h2("C17. Training Activities Conducted During AY 2025–26 for Placements (10 marks)"),</w:t>
        <w:br/>
        <w:t xml:space="preserve">  sectionNote("Replace with actual training activities that happened at RK Valley. Keep whichever of these apply and add real vendor names, dates, and participant counts."),</w:t>
        <w:br/>
        <w:t xml:space="preserve">  h3("Activity 1: Aptitude Training Programme (October–December 2025)"),</w:t>
        <w:br/>
        <w:t xml:space="preserve">  para("Weekly sessions covering quantitative aptitude, logical reasoning, and verbal ability. Targeted final year students across all departments. Sessions covered number systems, probability, data interpretation, and reading comprehension relevant to TCS NQT, Infosys, and Wipro test patterns. Approximately [fill count] students attended."),</w:t>
        <w:br/>
        <w:t xml:space="preserve">  h3("Activity 2: Coding Bootcamp — Python and DSA Basics (November 2025)"),</w:t>
        <w:br/>
        <w:t xml:space="preserve">  para("Two-week intensive coding programme focusing on Python fundamentals and basic Data Structures (arrays, linked lists, sorting). Targeted ECE students with limited programming exposure. Sessions conducted by senior students or faculty with EITP support."),</w:t>
        <w:br/>
        <w:t xml:space="preserve">  h3("Activity 3: Resume Building and LinkedIn Profile Workshop (January 2026)"),</w:t>
        <w:br/>
        <w:t xml:space="preserve">  para("One-day workshop where students built resumes and LinkedIn profiles with live feedback. Students were guided on what companies look for, how to write project descriptions, and how to present internship experience effectively."),</w:t>
        <w:br/>
        <w:t xml:space="preserve">  h3("Activity 4: Mock Interview Sessions (February 2026)"),</w:t>
        <w:br/>
        <w:t xml:space="preserve">  para("Technical and HR mock interview rounds organised by the TNP cell. Faculty and senior students acted as interviewers. Students received written feedback on their performance."),</w:t>
        <w:br/>
        <w:t xml:space="preserve">  h3("Activity 5: Communication Skills Sessions (September–October 2025)"),</w:t>
        <w:br/>
        <w:t xml:space="preserve">  para("Soft skills sessions covering email etiquette, group discussion participation, and professional English communication. Sessions used role-plays and real company GD topics from previous campus drives."),</w:t>
        <w:br/>
        <w:t xml:space="preserve">  spacer()</w:t>
        <w:br/>
        <w:t>);</w:t>
        <w:br/>
        <w:br/>
        <w:t>// C18</w:t>
        <w:br/>
        <w:t>children.push(</w:t>
        <w:br/>
        <w:t xml:space="preserve">  h2("C18. Mechanism to Ensure Full Attendance at Training Programmes (10 marks)"),</w:t>
        <w:br/>
        <w:t xml:space="preserve">  h3("Root Causes (Honest Assessment):"),</w:t>
        <w:br/>
        <w:t xml:space="preserve">  para("Students don't show up because they don't see immediate value, there's no real consequence for not attending, or the timing conflicts with something they care about more. Repeated WhatsApp reminders don't work — students have conditioned themselves to ignore them."),</w:t>
        <w:br/>
        <w:t xml:space="preserve">  h3("What Actually Works:"),</w:t>
        <w:br/>
        <w:t xml:space="preserve">  para("One: Connect training directly to placement eligibility. If students need to complete X training sessions to sit for a company drive, attendance becomes self-motivated. Make training completion a prerequisite for drive participation, not an optional extra."),</w:t>
        <w:br/>
        <w:t xml:space="preserve">  para("Two: Peer accountability groups. Divide students into groups of 8–10 with one student coordinator per group who tracks attendance. Group coordinators feel personally responsible — social accountability costs nothing and reduces dropout significantly."),</w:t>
        <w:br/>
        <w:t xml:space="preserve">  para("Three: Make training immediately relevant. 'Session on Infosys-style aptitude, Infosys is coming in 3 weeks' gets attendance. 'Generic aptitude training' sounds like something they can do later. Specific and timely training wins."),</w:t>
        <w:br/>
        <w:t xml:space="preserve">  para("Four: Feedback-based improvement. A 3-question end-of-session form — Was this useful? What would make it better? What topic do you want next? — builds trust in the programme and increases attendance."),</w:t>
        <w:br/>
        <w:t xml:space="preserve">  para("Five: Visible recognition. An attendance leaderboard celebrating students with high consistency (not punishing low attendance) reinforces the behaviour you want."),</w:t>
        <w:br/>
        <w:t xml:space="preserve">  para("Six: Schedule protection. Coordinate with department heads to ensure training sessions don't conflict with class tests, lab sessions, or other academic commitments — the most common and most preventable failure."),</w:t>
        <w:br/>
        <w:t xml:space="preserve">  spacer()</w:t>
        <w:br/>
        <w:t>);</w:t>
        <w:br/>
        <w:br/>
        <w:t>// C19</w:t>
        <w:br/>
        <w:t>children.push(</w:t>
        <w:br/>
        <w:t xml:space="preserve">  h2("C19. Ten Free Training Programmes Across Platforms (20 marks)"),</w:t>
        <w:br/>
        <w:t xml:space="preserve">  spacer(),</w:t>
        <w:br/>
        <w:t xml:space="preserve">  makeTable(</w:t>
        <w:br/>
        <w:t xml:space="preserve">    ["Platform", "Programme", "Branches That Benefit"],</w:t>
        <w:br/>
        <w:t xml:space="preserve">    [</w:t>
        <w:br/>
        <w:t xml:space="preserve">      ["IBM SkillsBuild", "Artificial Intelligence Fundamentals", "CSE, ECE, IT"],</w:t>
        <w:br/>
        <w:t xml:space="preserve">      ["IBM SkillsBuild", "Cybersecurity Fundamentals", "CSE, IT"],</w:t>
        <w:br/>
        <w:t xml:space="preserve">      ["IBM SkillsBuild", "Data Science Foundations", "CSE, ECE, Mech"],</w:t>
        <w:br/>
        <w:t xml:space="preserve">      ["Infosys Springboard", "Python Programming", "All branches"],</w:t>
        <w:br/>
        <w:t xml:space="preserve">      ["Infosys Springboard", "Introduction to Data Analytics", "All branches"],</w:t>
        <w:br/>
        <w:t xml:space="preserve">      ["Infosys Springboard", "Digital Marketing", "All branches"],</w:t>
        <w:br/>
        <w:t xml:space="preserve">      ["NASSCOM FutureSkills Prime", "AI &amp; ML Basics", "CSE, ECE"],</w:t>
        <w:br/>
        <w:t xml:space="preserve">      ["NASSCOM FutureSkills Prime", "Full Stack Development Basics", "CSE, IT"],</w:t>
        <w:br/>
        <w:t xml:space="preserve">      ["NIELIT", "O Level Certification Prep", "All branches, especially CSE"],</w:t>
        <w:br/>
        <w:t xml:space="preserve">      ["NPTEL (SWAYAM)", "Data Science using Python", "All branches"],</w:t>
        <w:br/>
        <w:t xml:space="preserve">      ["NPTEL (SWAYAM)", "Digital Circuits and Microprocessors", "ECE, EEE"],</w:t>
        <w:br/>
        <w:t xml:space="preserve">      ["MSME Technology Centre", "Entrepreneurship Development", "All branches"],</w:t>
        <w:br/>
        <w:t xml:space="preserve">    ],</w:t>
        <w:br/>
        <w:t xml:space="preserve">    [2500, 3500, 3360]</w:t>
        <w:br/>
        <w:t xml:space="preserve">  ),</w:t>
        <w:br/>
        <w:t xml:space="preserve">  spacer(),</w:t>
        <w:br/>
        <w:t xml:space="preserve">  para("All of these are completely free for students. IBM SkillsBuild and Infosys Springboard give certificates on completion which are recognised by those companies' HR teams during placement evaluation."),</w:t>
        <w:br/>
        <w:t xml:space="preserve">  spacer()</w:t>
        <w:br/>
        <w:t>);</w:t>
        <w:br/>
        <w:br/>
        <w:t>// C20</w:t>
        <w:br/>
        <w:t>children.push(</w:t>
        <w:br/>
        <w:t xml:space="preserve">  h2("C20. Route-Map for 100% Placements at RGUKT-AP (30 marks)"),</w:t>
        <w:br/>
        <w:t xml:space="preserve">  h3("Stage 1 — Career Survey (August, Start of Academic Year)"),</w:t>
        <w:br/>
        <w:t xml:space="preserve">  para("Run a structured career survey in the first month of the academic year — a specific instrument capturing: career goal (placement/higher education/entrepreneurship/govt job), preferred sector, current skill level in relevant domains, internship history, and timeline for placement readiness. Output: campus-wise, branch-wise classification of students into four tracks."),</w:t>
        <w:br/>
        <w:t xml:space="preserve">  h3("Stage 2 — Student Segmentation"),</w:t>
        <w:br/>
        <w:t xml:space="preserve">  para("Create four active tracks from survey output:"),</w:t>
        <w:br/>
        <w:t xml:space="preserve">  bullet("Track 1 (IT/Software Placement): Students targeting TCS, Infosys, startups, product companies"),</w:t>
        <w:br/>
        <w:t xml:space="preserve">  bullet("Track 2 (Core Sector): Students targeting ECE/Mech/Civil core companies, PSUs, manufacturing"),</w:t>
        <w:br/>
        <w:t xml:space="preserve">  bullet("Track 3 (Higher Education): GATE, GRE/MS, MBA track students — integrated with GATE-USP"),</w:t>
        <w:br/>
        <w:t xml:space="preserve">  bullet("Track 4 (Government Exams): APPSC, SSC, Banking, Defense — coordinated with HEC/CEC"),</w:t>
        <w:br/>
        <w:t xml:space="preserve">  h3("Stage 3 — Skill Building (September–February)"),</w:t>
        <w:br/>
        <w:t xml:space="preserve">  para("Each track gets a tailored skill-building roadmap. Track 1 IT students: Aptitude + coding + communication + specific language/tool certifications (Python, SQL, Java). Free resources: IBM SkillsBuild, NASSCOM FutureSkills, Infosys Springboard. Track 2 Core: GATE-aligned technical skills + PSU test preparation. Track 3 &amp; 4: GATE-USP and HEC/CEC coordination respectively."),</w:t>
        <w:br/>
        <w:t xml:space="preserve">  h3("Stage 4 — Digital Skill Passport"),</w:t>
        <w:br/>
        <w:t xml:space="preserve">  para("By December, every student should have a Skill Passport — a verified record of certifications, skill assessment scores, projects, and internship history. TNP cells use this passport when approaching companies, enabling better-targeted shortlisting. Companies get a data-backed view of student skills instead of just resumes."),</w:t>
        <w:br/>
        <w:t xml:space="preserve">  h3("Stage 5 — Approaching Companies (November onwards)"),</w:t>
        <w:br/>
        <w:t xml:space="preserve">  para("Stop sending generic bulk emails. Use the skill passport data to match students to appropriate companies. Maintain a CRM-style recruiter database tracking every company contact, email sent, response status, and last follow-up date. Prioritise warm connections over cold emails — alumni at target companies, faculty contacts, companies that visited before."),</w:t>
        <w:br/>
        <w:t xml:space="preserve">  h3("Stage 6 — Mock Tests and Mock Interviews (January–March)"),</w:t>
        <w:br/>
        <w:t xml:space="preserve">  para("Conduct 3 rounds of mock aptitude tests using Unstop, HackerRank practice, and company-specific previous papers. For mock interviews: pair every final-year student with at least one practice HR and one technical interview using alumni, EITP interns, and faculty for interview panels."),</w:t>
        <w:br/>
        <w:t xml:space="preserve">  h3("Stage 7 — Final Selections"),</w:t>
        <w:br/>
        <w:t xml:space="preserve">  para("During actual placement drives, EITP interns support TNP cells in logistics — eligible student lists, communication with company HR, room setup, document management. Track every offer, rejection, and pending status in real time. Students who don't receive offers in the first wave go into a second outreach cycle."),</w:t>
        <w:br/>
        <w:t xml:space="preserve">  spacer(),</w:t>
        <w:br/>
        <w:t xml:space="preserve">  h3("KPIs for 100% Placement Goal:"),</w:t>
        <w:br/>
        <w:t xml:space="preserve">  makeTable(</w:t>
        <w:br/>
        <w:t xml:space="preserve">    ["Metric", "Target"],</w:t>
        <w:br/>
        <w:t xml:space="preserve">    [</w:t>
        <w:br/>
        <w:t xml:space="preserve">      ["Career survey completion", "95%+"],</w:t>
        <w:br/>
        <w:t xml:space="preserve">      ["Students on Skill Passport", "100%"],</w:t>
        <w:br/>
        <w:t xml:space="preserve">      ["Mock interview participation", "90%+"],</w:t>
        <w:br/>
        <w:t xml:space="preserve">      ["Companies visiting per year", "30+ (vs current baseline)"],</w:t>
        <w:br/>
        <w:t xml:space="preserve">      ["First-wave offer rate", "75%+"],</w:t>
        <w:br/>
        <w:t xml:space="preserve">      ["Overall placement within 6 months of graduation", "100%"],</w:t>
        <w:br/>
        <w:t xml:space="preserve">    ],</w:t>
        <w:br/>
        <w:t xml:space="preserve">    [5000, 4360]</w:t>
        <w:br/>
        <w:t xml:space="preserve">  ),</w:t>
        <w:br/>
        <w:t xml:space="preserve">  spacer(),</w:t>
        <w:br/>
        <w:t xml:space="preserve">  para("Realistic note: 100% placement is a directional target, not a literal guarantee. The goal is that every student who wants a job and has met minimum preparation criteria receives at least one offer. Students who actively choose entrepreneurship, higher education, or government exams shouldn't be counted as 'unplaced.'", { italics: true }),</w:t>
        <w:br/>
        <w:t xml:space="preserve">  spacer()</w:t>
        <w:br/>
        <w:t>);</w:t>
        <w:br/>
        <w:br/>
        <w:t>// C21</w:t>
        <w:br/>
        <w:t>children.push(</w:t>
        <w:br/>
        <w:t xml:space="preserve">  h2("C21. Alumni Details — 10 Alumni of Your Campus (5 marks)"),</w:t>
        <w:br/>
        <w:t xml:space="preserve">  sectionNote("Entirely campus-specific. Cannot be invented. Ask your TNP cell or batch seniors for alumni contact information."),</w:t>
        <w:br/>
        <w:t xml:space="preserve">  makeTable(</w:t>
        <w:br/>
        <w:t xml:space="preserve">    ["Name", "ID Number", "Department", "Campus", "Company", "Email"],</w:t>
        <w:br/>
        <w:t xml:space="preserve">    [</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["[Fill]", "[Fill]", "[Fill]", "RK Valley", "[Fill]", "[Fill]"],</w:t>
        <w:br/>
        <w:t xml:space="preserve">    ],</w:t>
        <w:br/>
        <w:t xml:space="preserve">    [1560, 1400, 1400, 1200, 1600, 1600]</w:t>
        <w:br/>
        <w:t xml:space="preserve">  ),</w:t>
        <w:br/>
        <w:t xml:space="preserve">  spacer()</w:t>
        <w:br/>
        <w:t>);</w:t>
        <w:br/>
        <w:br/>
        <w:t>// C22</w:t>
        <w:br/>
        <w:t>children.push(</w:t>
        <w:br/>
        <w:t xml:space="preserve">  h2("C22. Effective Mechanism for Bringing More Campus Recruitment Drives (25 marks)"),</w:t>
        <w:br/>
        <w:t xml:space="preserve">  para("500+ emails sent with poor response is a signal problem, not a scale problem. Sending more emails in the same format won't fix it. Companies receiving these emails are asking: Why this campus? What are the students like? Is this worth the travel and time investment? A generic email doesn't answer any of those questions."),</w:t>
        <w:br/>
        <w:t xml:space="preserve">  h3("Strategy That Actually Works:"),</w:t>
        <w:br/>
        <w:t xml:space="preserve">  para("One — Alumni-mediated outreach. A recommendation from a current employee is worth 50 cold emails. RGUKT alumni working at target companies should be the primary channel for introducing the campus to their HR team. EITP needs to build and maintain an active alumni contact list, segment by company, and reach out individually with a personal ask: 'Would you be willing to introduce our campus placement team to your HR contact?' The conversion on this is dramatically higher."),</w:t>
        <w:br/>
        <w:t xml:space="preserve">  para("Two — Skill-specific company matching. Instead of sending the same email to every company, segment the company list by the skills they recruit for and match them to RGUKT's student strengths. A company that recruits for embedded systems should receive an email specifically highlighting RGUKT ECE students with projects in that domain."),</w:t>
        <w:br/>
        <w:t xml:space="preserve">  para("Three — Create a campus profile document. One page, well-designed: student strength by branch, CGPA distribution, notable achievements, placement history, and what's unique about RGUKT (the residential model, IIT dual-degree pathways, the Sadisha GATE programme). This goes with every outreach."),</w:t>
        <w:br/>
        <w:t xml:space="preserve">  para("Four — LinkedIn company HR outreach. Most campus placement requests go to generic HR inboxes and get filtered out. Use LinkedIn to identify campus recruiters and talent acquisition managers at target companies and send personalised messages. LinkedIn message open rates are significantly higher than email."),</w:t>
        <w:br/>
        <w:t xml:space="preserve">  para("Five — Target startup ecosystem. Funded startups — especially Series A and B companies in Hyderabad and Bengaluru — are looking for cost-effective, high-potential engineering talent. EITP should build a specific outreach list of 100 funded startups and approach them through founder/CTO LinkedIn contacts rather than generic HR."),</w:t>
        <w:br/>
        <w:t xml:space="preserve">  para("Six — Make campus visits easy. Offer virtual recruitment rounds and provide video conferencing infrastructure for initial screening, so on-campus visits are only needed for the final round. Reducing friction increases company participation."),</w:t>
        <w:br/>
        <w:t xml:space="preserve">  para("Seven — Year-round relationship management. Companies that visit RGUKT should be nurtured through the year — industry expert talks, project consultations, internship pipelines — not just annual placement drives. A company with an ongoing relationship is far more likely to return and expand hiring."),</w:t>
        <w:br/>
        <w:t xml:space="preserve">  spacer()</w:t>
        <w:br/>
        <w:t>);</w:t>
        <w:br/>
        <w:br/>
        <w:t>// ─── PART D ──────────────────────────────────────────────────────────────────</w:t>
        <w:br/>
        <w:t>children.push(</w:t>
        <w:br/>
        <w:t xml:space="preserve">  new Paragraph({ children: [new PageBreak()] }),</w:t>
        <w:br/>
        <w:t xml:space="preserve">  h1("PART D — ENTREPRENEURSHIP &amp; STARTUP WORK")</w:t>
        <w:br/>
        <w:t>);</w:t>
        <w:br/>
        <w:br/>
        <w:t>// D1</w:t>
        <w:br/>
        <w:t>children.push(</w:t>
        <w:br/>
        <w:t xml:space="preserve">  h2("D1. Relevant Experience with Entrepreneurship and Startup Ecosystem (5 marks)"),</w:t>
        <w:br/>
        <w:t xml:space="preserve">  para("I'm the Founder and CEO of Sree Connect, an AI product startup I launched in 2025 while simultaneously enrolled in B.Tech at RGUKT and B.Sc. Data Science at IIT Madras. This isn't something I did in a college club or a 48-hour hackathon — it's an actual operating startup."),</w:t>
        <w:br/>
        <w:t xml:space="preserve">  para("What I've done: identified market gaps in AI tool accessibility for small businesses; built and shipped 15+ AI products across business, agriculture, and education sectors; recruited and managed a team of 12 developers; established partnerships with 5+ industry organisations; and scaled to 2,000+ active users with 25% month-on-month growth. We secured pre-seed funding of $50,000 which I managed alongside product roadmap and investor relations."),</w:t>
        <w:br/>
        <w:t xml:space="preserve">  para("For agriculture specifically, I built a rental platform connecting farmers with equipment — directly relevant to AP's rural economy and built while studying here at RK Valley with firsthand local context."),</w:t>
        <w:br/>
        <w:t xml:space="preserve">  para("I've also participated in 6+ national hackathons, reached finals in IIT Madras AI hackathons, and won 2 innovation awards. The hackathon experience taught me how to go from idea to working prototype in 24–48 hours — the core skill in early startup work."),</w:t>
        <w:br/>
        <w:t xml:space="preserve">  spacer()</w:t>
        <w:br/>
        <w:t>);</w:t>
        <w:br/>
        <w:br/>
        <w:t>// D2</w:t>
        <w:br/>
        <w:t>children.push(</w:t>
        <w:br/>
        <w:t xml:space="preserve">  h2("D2. Developments Observed in RGUKT-AP Entrepreneurship Ecosystem (5 marks)"),</w:t>
        <w:br/>
        <w:t xml:space="preserve">  para("There are some real positive developments and some structural gaps that still exist."),</w:t>
        <w:br/>
        <w:t xml:space="preserve">  para("On the positive side: there's growing awareness that entrepreneurship is a legitimate career path from RGUKT. The HEC-CEC framework provides an institutional structure for incubation support. National programmes like Smart India Hackathon are being conducted across all four campuses, creating a minimum baseline of entrepreneurship culture. Some students have launched early-stage ventures during their studies."),</w:t>
        <w:br/>
        <w:t xml:space="preserve">  para("What's developing but not yet mature: the linkage between winning a hackathon and actually starting a company. Most students treat hackathons as competitions to win, not as starting points for ventures. There's no clear 'what next' pathway after a team wins SIH or any other hackathon."),</w:t>
        <w:br/>
        <w:t xml:space="preserve">  para("The Ratan Tata Innovation Hub (RTIH) association with AP is a significant development — if RGUKT establishes a working relationship with RTIH, it would give students access to mentorship, funding networks, and incubation infrastructure that currently don't exist on campus."),</w:t>
        <w:br/>
        <w:t xml:space="preserve">  sectionNote("Add any specific recent development you've directly observed at your campus — a startup that launched, an incubation event, or an MoU signed."),</w:t>
        <w:br/>
        <w:t xml:space="preserve">  spacer()</w:t>
        <w:br/>
        <w:t>);</w:t>
        <w:br/>
        <w:br/>
        <w:t>// D3</w:t>
        <w:br/>
        <w:t>children.push(</w:t>
        <w:br/>
        <w:t xml:space="preserve">  h2("D3. Shortcomings in RGUKT-AP Entrepreneurship Ecosystem (20 marks)"),</w:t>
        <w:br/>
        <w:t xml:space="preserve">  h3("Shortcoming 1 — No Clear Pathway from Idea to Funded Startup"),</w:t>
        <w:br/>
        <w:t xml:space="preserve">  para("The biggest gap is structural. When a student has an idea — or even a prototype — there's no defined next step within RGUKT's ecosystem. Who do they talk to? What support is available? How do they register a company? How do they get seed funding? These questions have no clear answers. Students who are serious figure it out on their own, as I did with Sree Connect. Students who need guidance give up."),</w:t>
        <w:br/>
        <w:t xml:space="preserve">  h3("Shortcoming 2 — Hackathon Culture Without Startup Culture"),</w:t>
        <w:br/>
        <w:t xml:space="preserve">  para("RGUKT participates in SIH, hackathons, and project competitions. Students build impressive prototypes for these events. But there's almost zero continuity — after the competition ends, the project ends. The mindset is 'win the prize' not 'build the company.' The ecosystem lacks mechanisms to convert winning hackathon teams into incubated startups."),</w:t>
        <w:br/>
        <w:t xml:space="preserve">  h3("Shortcoming 3 — No Investor or Mentor Network on Campus"),</w:t>
        <w:br/>
        <w:t xml:space="preserve">  para("Students building startups from RGUKT have essentially no access to investors, experienced startup mentors, or domain experts. At IIT campuses, this network exists organically through alumni and faculty. At RGUKT, students who need mentorship have to find it entirely on their own — a structural disadvantage that's why RGUKT founders often move to Hyderabad or Bengaluru rather than building from campus."),</w:t>
        <w:br/>
        <w:t xml:space="preserve">  h3("Shortcoming 4 — IP and Commercialisation Awareness Is Near Zero"),</w:t>
        <w:br/>
        <w:t xml:space="preserve">  para("Students who build innovations during their degree have no understanding of intellectual property — how to file a patent, what a provisional application is, what university IP policies say. This knowledge gap means good innovations either don't get protected or get commercialised without proper structure."),</w:t>
        <w:br/>
        <w:t xml:space="preserve">  h3("Shortcoming 5 — No Digital Infrastructure for Startup Tracking"),</w:t>
        <w:br/>
        <w:t xml:space="preserve">  para("There's no centralised record of how many students from RGUKT have started companies, what stage they're at, what support they received, and what their outcomes have been. Without this data, it's impossible to evaluate what's working or where to invest resources."),</w:t>
        <w:br/>
        <w:t xml:space="preserve">  h3("Shortcoming 6 — Gender Gap in Entrepreneurship"),</w:t>
        <w:br/>
        <w:t xml:space="preserve">  para("Women students at RGUKT participate in academics and placements but are significantly underrepresented in entrepreneurship initiatives. This is a missed opportunity — women entrepreneurs from RGUKT would be powerful role models and are eligible for specific funding programmes (WEP, NXP WIT, FICCI FLO etc.) that are underutilised."),</w:t>
        <w:br/>
        <w:t xml:space="preserve">  h3("Shortcoming 7 — Awareness Gap About Government Startup Schemes"),</w:t>
        <w:br/>
        <w:t xml:space="preserve">  para("Very few RGUKT students know about Startup India registration, DPIIT recognition, AP Innovation Policy 4.0, Atal Innovation Mission, or specific benefits available to student startups. This means real money and real support is being left on the table."),</w:t>
        <w:br/>
        <w:t xml:space="preserve">  spacer()</w:t>
        <w:br/>
        <w:t>);</w:t>
        <w:br/>
        <w:br/>
        <w:t>// D4</w:t>
        <w:br/>
        <w:t>children.push(</w:t>
        <w:br/>
        <w:t xml:space="preserve">  h2("D4. National Innovation and Startup Policy 2019 (10 marks)"),</w:t>
        <w:br/>
        <w:t xml:space="preserve">  h3("What it is:"),</w:t>
        <w:br/>
        <w:t xml:space="preserve">  para("The National Innovation and Startup Policy (NISP) 2019 was issued by MHRD (now Ministry of Education) as a framework for all educational institutions to build innovation and startup ecosystems within their campuses."),</w:t>
        <w:br/>
        <w:t xml:space="preserve">  h3("Key Provisions:"),</w:t>
        <w:br/>
        <w:t xml:space="preserve">  bullet("Institutions must establish a Student Startup Policy recognising startups as a legitimate academic activity"),</w:t>
        <w:br/>
        <w:t xml:space="preserve">  bullet("Students working on startups should be granted academic flexibility — attendance relaxation, deferred examinations, and credit recognition"),</w:t>
        <w:br/>
        <w:t xml:space="preserve">  bullet("Institutions encouraged to establish Technology Business Incubators (TBIs) and pre-incubation facilities with physical infrastructure — prototyping labs, maker spaces, co-working areas"),</w:t>
        <w:br/>
        <w:t xml:space="preserve">  bullet("Faculty entrepreneurship is encouraged — professors can take leave of absence to commercialise research without losing their academic position"),</w:t>
        <w:br/>
        <w:t xml:space="preserve">  bullet("IP generated at the institution can be jointly held between student/faculty and the institution, with clear revenue-sharing guidelines"),</w:t>
        <w:br/>
        <w:t xml:space="preserve">  h3("Specific Benefits for RGUKT-AP:"),</w:t>
        <w:br/>
        <w:t xml:space="preserve">  para("NISP provides the policy backing for RGUKT to formally recognise student startups — including ventures like Sree Connect — as academic contributions. This means EITP and HEC-CEC can officially support student entrepreneurs with attendance and examination flexibility without violating any academic regulation."),</w:t>
        <w:br/>
        <w:t xml:space="preserve">  para("RGUKT can use NISP as the foundation to establish a formal Technology Business Incubator, apply for Atal Incubation Centre status (which brings ₹10 crore in funding from DST), and build out the physical and mentorship infrastructure for startup support."),</w:t>
        <w:br/>
        <w:t xml:space="preserve">  spacer()</w:t>
        <w:br/>
        <w:t>);</w:t>
        <w:br/>
        <w:br/>
        <w:t>// D5</w:t>
        <w:br/>
        <w:t>children.push(</w:t>
        <w:br/>
        <w:t xml:space="preserve">  h2("D5. Andhra Pradesh Innovation and Startup Policy 4.0 (10 marks)"),</w:t>
        <w:br/>
        <w:t xml:space="preserve">  h3("What it is:"),</w:t>
        <w:br/>
        <w:t xml:space="preserve">  para("AP's Innovation and Startup Policy 4.0 is the state's current framework for creating an ecosystem that generates startups, encourages innovation, and attracts investors to Andhra Pradesh. It builds on earlier versions and is more focused on specific sector opportunities — agritech, aquatech, fintech, clean energy — which align with AP's economic strengths."),</w:t>
        <w:br/>
        <w:t xml:space="preserve">  h3("Key Features:"),</w:t>
        <w:br/>
        <w:t xml:space="preserve">  bullet("State-level incubation support through registered AP incubators"),</w:t>
        <w:br/>
        <w:t xml:space="preserve">  bullet("Seed funding support for startups at early stage"),</w:t>
        <w:br/>
        <w:t xml:space="preserve">  bullet("Market access support — introductions to government procurement, anchor customers, and pilot programmes"),</w:t>
        <w:br/>
        <w:t xml:space="preserve">  bullet("Mentorship networks through state-supported programmes"),</w:t>
        <w:br/>
        <w:t xml:space="preserve">  bullet("Tax incentives for companies setting up in AP"),</w:t>
        <w:br/>
        <w:t xml:space="preserve">  bullet("Priority support for startups from SC/ST/women founders"),</w:t>
        <w:br/>
        <w:t xml:space="preserve">  h3("Benefits for RGUKT-AP:"),</w:t>
        <w:br/>
        <w:t xml:space="preserve">  para("AP Policy 4.0 explicitly includes higher education institutions in its incubation network. RGUKT can register as an AP-recognised incubation centre, allowing student startups from RGUKT to access state-level seed funding and market access support."),</w:t>
        <w:br/>
        <w:t xml:space="preserve">  para("The agritech and aquatech focus is particularly relevant — RGUKT campuses are in rural AP, students understand agricultural challenges firsthand, and there is real market demand. The priority support for rural-origin founders is a direct benefit for RGUKT's student demographic."),</w:t>
        <w:br/>
        <w:t xml:space="preserve">  sectionNote("Verify current specific details like exact fund amounts and portal from AP's official startup documentation at ap.gov.in — the policy is frequently updated."),</w:t>
        <w:br/>
        <w:t xml:space="preserve">  spacer()</w:t>
        <w:br/>
        <w:t>);</w:t>
        <w:br/>
        <w:br/>
        <w:t>// D6</w:t>
        <w:br/>
        <w:t>children.push(</w:t>
        <w:br/>
        <w:t xml:space="preserve">  h2("D6. Smart India Hackathon 2025–26 — Top 10 Teams and Projects (20 marks)"),</w:t>
        <w:br/>
        <w:t xml:space="preserve">  sectionNote("This is entirely campus-specific and factual. Get actual team names, problem statement codes, and results from your SIH campus coordinator or EITP hub. Do NOT invent this data — the committee will verify."),</w:t>
        <w:br/>
        <w:t xml:space="preserve">  makeTable(</w:t>
        <w:br/>
        <w:t xml:space="preserve">    ["Team Name", "Campus", "Problem Statement", "Theme/Ministry", "Outcome"],</w:t>
        <w:br/>
        <w:t xml:space="preserve">    [</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["[Fill]", "RK Valley", "[Fill]", "[Fill]", "[Winner/Finalist]"],</w:t>
        <w:br/>
        <w:t xml:space="preserve">    ],</w:t>
        <w:br/>
        <w:t xml:space="preserve">    [1800, 1400, 2400, 2000, 1760]</w:t>
        <w:br/>
        <w:t xml:space="preserve">  ),</w:t>
        <w:br/>
        <w:t xml:space="preserve">  spacer()</w:t>
        <w:br/>
        <w:t>);</w:t>
        <w:br/>
        <w:br/>
        <w:t>// D7</w:t>
        <w:br/>
        <w:t>children.push(</w:t>
        <w:br/>
        <w:t xml:space="preserve">  h2("D7. Functions of Ratan Tata Innovation Hub (RTIH) and RGUKT Collaboration Benefits (20 marks)"),</w:t>
        <w:br/>
        <w:t xml:space="preserve">  h3("What RTIH Does:"),</w:t>
        <w:br/>
        <w:t xml:space="preserve">  para("The Ratan Tata Innovation Hub (RTIH) in Andhra Pradesh operates under the AP government's startup and innovation ecosystem, headquartered in Visakhapatnam, functioning as one of AP's primary innovation and incubation centres."),</w:t>
        <w:br/>
        <w:t xml:space="preserve">  bullet("Incubation infrastructure: Provides physical co-working and prototyping space, lab access, and administrative support for early-stage startups — including hardware labs for IoT, embedded systems, and robotics"),</w:t>
        <w:br/>
        <w:t xml:space="preserve">  bullet("Structured incubation cohorts: Runs 6-month incubation programmes for early-stage startups. Accepted teams get mentorship, workspace, cloud credits, and access to investor networks"),</w:t>
        <w:br/>
        <w:t xml:space="preserve">  bullet("Mentorship network: Connects founders with working professionals and active founders who provide honest product feedback and market insights — not just retired academics"),</w:t>
        <w:br/>
        <w:t xml:space="preserve">  bullet("Investor connects: Organises quarterly investor meets. Maintains relationships with angel investors and seed funds active in the AP/Telangana startup ecosystem"),</w:t>
        <w:br/>
        <w:t xml:space="preserve">  bullet("Legal and compliance support: Company registration, IP filing, DPIIT recognition guidance, and contract review for startup agreements"),</w:t>
        <w:br/>
        <w:t xml:space="preserve">  bullet("Government scheme navigation: Helps founders apply to SISFS, AIM grants, BIRAC, and AP Innovation Policy benefits without getting lost in paperwork"),</w:t>
        <w:br/>
        <w:t xml:space="preserve">  h3("How RTIH–RGUKT Collaboration Benefits Students:"),</w:t>
        <w:br/>
        <w:t xml:space="preserve">  para("Currently, a student from RGUKT who wants to build a startup has no structured access to any of these things. A formal MoU between RGUKT and RTIH would mean:"),</w:t>
        <w:br/>
        <w:t xml:space="preserve">  bullet("RGUKT student teams that win SIH or campus hackathons can directly apply for RTIH incubation with institutional endorsement"),</w:t>
        <w:br/>
        <w:t xml:space="preserve">  bullet("RTIH mentors can visit RGUKT campuses for startup clinics each semester"),</w:t>
        <w:br/>
        <w:t xml:space="preserve">  bullet("RGUKT's best student startup teams can present at RTIH's quarterly investor events"),</w:t>
        <w:br/>
        <w:t xml:space="preserve">  bullet("RTIH's hardware lab access is directly useful for ECE students working on IoT and embedded systems projects"),</w:t>
        <w:br/>
        <w:t xml:space="preserve">  bullet("RTIH's IP and legal support can be extended to student entrepreneurs who currently have no access to this guidance"),</w:t>
        <w:br/>
        <w:t xml:space="preserve">  para("The residential nature of RGUKT actually creates a unique advantage — students have more time and fewer distractions to work on startup ideas than students at day colleges. An RTIH partnership could make RGUKT a genuine startup launchpad."),</w:t>
        <w:br/>
        <w:t xml:space="preserve">  sectionNote("Verify RTIH AP's current address, director name, and active programmes from rtih.in or the official AP government startup portal before submitting."),</w:t>
        <w:br/>
        <w:t xml:space="preserve">  spacer()</w:t>
        <w:br/>
        <w:t>);</w:t>
        <w:br/>
        <w:br/>
        <w:t>// D8</w:t>
        <w:br/>
        <w:t>children.push(</w:t>
        <w:br/>
        <w:t xml:space="preserve">  h2("D8. Difference Between LLP and Private Limited Company (5 marks)"),</w:t>
        <w:br/>
        <w:t xml:space="preserve">  spacer(),</w:t>
        <w:br/>
        <w:t xml:space="preserve">  makeTable(</w:t>
        <w:br/>
        <w:t xml:space="preserve">    ["Parameter", "LLP (Limited Liability Partnership)", "Private Limited Company"],</w:t>
        <w:br/>
        <w:t xml:space="preserve">    [</w:t>
        <w:br/>
        <w:t xml:space="preserve">      ["Governing Law", "Limited Liability Partnership Act, 2008", "Companies Act, 2013"],</w:t>
        <w:br/>
        <w:t xml:space="preserve">      ["Suitable for", "Professional services, small partnerships", "Startups seeking investment, scaling"],</w:t>
        <w:br/>
        <w:t xml:space="preserve">      ["Minimum members", "2 partners", "2 directors, 2 shareholders"],</w:t>
        <w:br/>
        <w:t xml:space="preserve">      ["Liability", "Limited to capital contribution", "Limited to share value"],</w:t>
        <w:br/>
        <w:t xml:space="preserve">      ["Equity/Investor", "Cannot issue equity to investors", "Can raise equity funding, issue ESOP"],</w:t>
        <w:br/>
        <w:t xml:space="preserve">      ["Compliance", "Lower — fewer filings", "Higher — annual returns, audits, board meetings"],</w:t>
        <w:br/>
        <w:t xml:space="preserve">      ["Tax", "Taxed as partnership, no DDT", "Corporate tax rate"],</w:t>
        <w:br/>
        <w:t xml:space="preserve">      ["Registration cost", "Lower", "Higher"],</w:t>
        <w:br/>
        <w:t xml:space="preserve">      ["Startup India eligibility", "Limited", "Fully eligible (DPIIT recognition)"],</w:t>
        <w:br/>
        <w:t xml:space="preserve">      ["Best for RGUKT startups?", "Informal projects, consulting", "Startups wanting VC/angel funding"],</w:t>
        <w:br/>
        <w:t xml:space="preserve">    ],</w:t>
        <w:br/>
        <w:t xml:space="preserve">    [2500, 3500, 3360]</w:t>
        <w:br/>
        <w:t xml:space="preserve">  ),</w:t>
        <w:br/>
        <w:t xml:space="preserve">  spacer(),</w:t>
        <w:br/>
        <w:t xml:space="preserve">  para("In simple terms: if you're building a startup that wants to raise investment and scale, register a Private Limited Company. If you're running a freelancing operation or small consulting business with a partner, LLP works fine but won't attract investors."),</w:t>
        <w:br/>
        <w:t xml:space="preserve">  spacer()</w:t>
        <w:br/>
        <w:t>);</w:t>
        <w:br/>
        <w:br/>
        <w:t>// D9</w:t>
        <w:br/>
        <w:t>children.push(</w:t>
        <w:br/>
        <w:t xml:space="preserve">  h2("D9. Five Funding Agencies for Startups and Innovative Ideas (20 marks)"),</w:t>
        <w:br/>
        <w:t xml:space="preserve">  numbered("DPIIT + Startup India Seed Fund Scheme (SISFS): For startups with DPIIT recognition less than 2 years old. Provides up to ₹20 lakhs as grants for proof of concept, up to ₹50 lakhs as loans for product development and market entry. Applied through empanelled incubators. Ideal for RGUKT student startups at early prototype stage."),</w:t>
        <w:br/>
        <w:t xml:space="preserve">  numbered("Atal Innovation Mission (AIM) — Atal Incubation Centre Grants: DST provides up to ₹10 crore to establish Atal Incubation Centres at universities and research institutions. Individual startups incubated at AIC-supported centres get mentorship, workspace, and funding access. RGUKT should actively pursue AIC status — this is a direct institutional opportunity."),</w:t>
        <w:br/>
        <w:t xml:space="preserve">  numbered("BIRAC — Biotechnology Industry Research Assistance Council: For biotech, healthtech, and agritech startups specifically. Provides LEAP (up to ₹50 lakhs), SPARK (up to ₹2 crore), and BIG grants. RGUKT students working in agritech have a natural fit given AP's agriculture focus."),</w:t>
        <w:br/>
        <w:t xml:space="preserve">  numbered("SIDBI — Small Industries Development Bank of India — Startup Mitra Fund: SIDBI operates through a fund-of-funds model and also provides direct debt and equity to early-stage startups. Connects startups with venture capital funds under its Alternative Investment Fund. More accessible to startups with some initial revenue traction."),</w:t>
        <w:br/>
        <w:t xml:space="preserve">  numbered("AP Innovation Society / T-Hub and AP Startup Ecosystem Funds: State-level funding through AP's innovation policy. The AP government through its startup policy and APSSDC provides seed grants, subsidised infrastructure, and access to state government pilot programmes for AP-domiciled startups. RGUKT student startups registered in AP are directly eligible."),</w:t>
        <w:br/>
        <w:t xml:space="preserve">  spacer()</w:t>
        <w:br/>
        <w:t>);</w:t>
        <w:br/>
        <w:br/>
        <w:t>// D10</w:t>
        <w:br/>
        <w:t>children.push(</w:t>
        <w:br/>
        <w:t xml:space="preserve">  h2("D10. Five National Level Hackathons with Prize Money Above ₹2 Lakh (10 marks)"),</w:t>
        <w:br/>
        <w:t xml:space="preserve">  numbered("Smart India Hackathon (SIH): Organised by Ministry of Education. Prize money ₹1 lakh per team (6 members) for winning teams, plus incubation support, mentorship, and visibility. Conducted annually. Both software and hardware editions."),</w:t>
        <w:br/>
        <w:t xml:space="preserve">  numbered("Toycathon / YUKTI Challenges (Ministry of Education): YUKTI 2.0 and related innovation challenges offer cash prizes and incubation support. Prize amounts typically ₹2–10 lakhs for top teams."),</w:t>
        <w:br/>
        <w:t xml:space="preserve">  numbered("Hack4Health / National Health Hackathon (Ministry of Health): Prizes above ₹2 lakhs for winning healthcare innovation solutions. Connected to Ministry of Health and National Health Authority."),</w:t>
        <w:br/>
        <w:t xml:space="preserve">  numbered("AIC-Supported National Hackathons (AIM-DST): Atal Innovation Mission regularly runs national innovation challenges with prize pools of ₹2–10 lakhs. Connected to DST's network of ATL and AIC facilities."),</w:t>
        <w:br/>
        <w:t xml:space="preserve">  numbered("NASSCOM Foundation Social Innovation Forum Hackathons: Focus on social impact technology. Prize money up to ₹5 lakhs plus incubation support. Particularly relevant for students working on education, agriculture, or healthcare tech."),</w:t>
        <w:br/>
        <w:t xml:space="preserve">  sectionNote("Verify current prize amounts and dates for AY 2026-27 editions on Unstop, Devfolio, and Dare2Compete, as amounts change year to year."),</w:t>
        <w:br/>
        <w:t xml:space="preserve">  spacer()</w:t>
        <w:br/>
        <w:t>);</w:t>
        <w:br/>
        <w:br/>
        <w:t>// D11</w:t>
        <w:br/>
        <w:t>children.push(</w:t>
        <w:br/>
        <w:t xml:space="preserve">  h2("D11. Comprehensive Route-Map for Entrepreneurship Ecosystem Development in RGUKT-AP (50 marks)"),</w:t>
        <w:br/>
        <w:t xml:space="preserve">  h3("Phase 0 — Audit and Foundation (June 2026)"),</w:t>
        <w:br/>
        <w:t xml:space="preserve">  para("Before building anything new, document what exists. How many students have started companies? Which HEC-CEC resources are currently available? Which faculty have entrepreneurship experience? This audit takes one month and should involve conversations with students, faculty coordinators, and EITP leadership. Output: an honest gap map — what's completely absent, what exists but is underused, and what's working and can be scaled."),</w:t>
        <w:br/>
        <w:t xml:space="preserve">  h3("Phase 1 — Awareness and Culture (July–September 2026)"),</w:t>
        <w:br/>
        <w:t xml:space="preserve">  para("The first battle in entrepreneurship culture is visibility. Students at RGUKT don't see themselves as potential founders primarily because they don't know that students like them have built companies."),</w:t>
        <w:br/>
        <w:t xml:space="preserve">  bullet("Run a 'Founders from Our Campus' campaign — one alumni founder story per week for 12 weeks across all channels: social media, WhatsApp groups, campus notice boards"),</w:t>
        <w:br/>
        <w:t xml:space="preserve">  bullet("Run an entrepreneurship orientation in every department — 1 hour, focused on dispelling myths. Biggest myth: you need to be from IIT. You don't."),</w:t>
        <w:br/>
        <w:t xml:space="preserve">  bullet("Host a 'Build Your First Product in 48 Hours' internal hackathon — low stakes, just for fun, but it gets students into the building mindset"),</w:t>
        <w:br/>
        <w:t xml:space="preserve">  h3("Phase 2 — Incubation Infrastructure (October–December 2026)"),</w:t>
        <w:br/>
        <w:t xml:space="preserve">  para("Establish a Pre-Incubation Programme at each campus. Requirements: a physical space, a faculty advisor giving 4 hours per week, and a basic intake process. Student teams apply with a 1-page idea sheet. A selection committee (2 faculty + 2 industry advisors) selects 5–10 teams per campus per semester. Selected teams get: space access, weekly mentorship, introduction to government schemes, and support preparing for external hackathons and grants."),</w:t>
        <w:br/>
        <w:t xml:space="preserve">  h3("Phase 3 — Mentorship Network (November 2026 onwards)"),</w:t>
        <w:br/>
        <w:t xml:space="preserve">  para("Build a RGUKT Startup Mentor Network. Target: 50 mentors (alumni + industry professionals) willing to give 2 hours per month. Each student team gets one assigned mentor for 3 months. Monthly 1-hour video calls. The mentor provides honest feedback on the idea, the team, and the execution approach."),</w:t>
        <w:br/>
        <w:t xml:space="preserve">  h3("Phase 4 — Hackathon-to-Startup Pipeline (January–March 2027)"),</w:t>
        <w:br/>
        <w:t xml:space="preserve">  para("After SIH 2026-27 and other hackathons, immediately run a 'What's Next?' session with all teams that participated (not just winners). Present the pre-incubation programme. Enroll interested teams directly into the next pre-incubation cohort. This closes the biggest gap in RGUKT's current ecosystem — the dead end after hackathon participation."),</w:t>
        <w:br/>
        <w:t xml:space="preserve">  h3("Phase 5 — External Ecosystem Integration (March 2027 onwards)"),</w:t>
        <w:br/>
        <w:t xml:space="preserve">  bullet("Pursue formal MoU with RTIH-AP, T-Hub, and at least one Hyderabad-based VC firm willing to evaluate RGUKT student startup pitches annually"),</w:t>
        <w:br/>
        <w:t xml:space="preserve">  bullet("Apply for Atal Incubation Centre status at RGUKT — this brings ₹10 crore and formal AIC designation"),</w:t>
        <w:br/>
        <w:t xml:space="preserve">  bullet("Register with Startup India as an incubation centre — allows student startups to access SISFS seed funding (up to ₹20 lakhs) without needing external incubators"),</w:t>
        <w:br/>
        <w:t xml:space="preserve">  h3("Phase 6 — Long-Term Ecosystem Sustenance (AY 2027-28 onwards)"),</w:t>
        <w:br/>
        <w:t xml:space="preserve">  bullet("Establish a RGUKT Alumni Startup Fund — ₹50 lakhs pooled from successful alumni providing pre-seed grants of ₹1–5 lakhs to RGUKT student startups"),</w:t>
        <w:br/>
        <w:t xml:space="preserve">  bullet("Build a public-facing RGUKT Startup Dashboard — tracks all student ventures, their stage, and outcomes. Visible to students, faculty, investors, and company partners"),</w:t>
        <w:br/>
        <w:t xml:space="preserve">  bullet("Annual RGUKT Startup Demo Day — held every March, student startups pitch to a panel of investors, alumni, and industry experts"),</w:t>
        <w:br/>
        <w:t xml:space="preserve">  spacer(),</w:t>
        <w:br/>
        <w:t xml:space="preserve">  h3("KPIs:"),</w:t>
        <w:br/>
        <w:t xml:space="preserve">  makeTable(</w:t>
        <w:br/>
        <w:t xml:space="preserve">    ["Metric", "Year 1 Target", "Year 3 Target"],</w:t>
        <w:br/>
        <w:t xml:space="preserve">    [</w:t>
        <w:br/>
        <w:t xml:space="preserve">      ["Pre-incubation teams", "40 (10 per campus)", "100+"],</w:t>
        <w:br/>
        <w:t xml:space="preserve">      ["Startups formally registered", "10", "50"],</w:t>
        <w:br/>
        <w:t xml:space="preserve">      ["DPIIT-recognised startups", "5", "25"],</w:t>
        <w:br/>
        <w:t xml:space="preserve">      ["Student startups with funding", "2", "15"],</w:t>
        <w:br/>
        <w:t xml:space="preserve">      ["Mentor network size", "50", "150"],</w:t>
        <w:br/>
        <w:t xml:space="preserve">      ["AIC status", "Applied", "Granted"],</w:t>
        <w:br/>
        <w:t xml:space="preserve">      ["Alumni Startup Fund corpus", "—", "₹50 lakhs"],</w:t>
        <w:br/>
        <w:t xml:space="preserve">    ],</w:t>
        <w:br/>
        <w:t xml:space="preserve">    [4000, 3000, 2360]</w:t>
        <w:br/>
        <w:t xml:space="preserve">  ),</w:t>
        <w:br/>
        <w:t xml:space="preserve">  spacer()</w:t>
        <w:br/>
        <w:t>);</w:t>
        <w:br/>
        <w:br/>
        <w:t>// D12</w:t>
        <w:br/>
        <w:t>children.push(</w:t>
        <w:br/>
        <w:t xml:space="preserve">  h2("D12. Atal Innovation Mission and Atal Incubation Centre — Establishment Procedure (20 marks)"),</w:t>
        <w:br/>
        <w:t xml:space="preserve">  h3("What is AIM:"),</w:t>
        <w:br/>
        <w:t xml:space="preserve">  para("Atal Innovation Mission is NITI Aayog's flagship initiative to create and promote a culture of innovation and entrepreneurship across India. It has multiple programmes: Atal Tinkering Labs (ATL) for schools, Atal Incubation Centres (AIC) for colleges and institutions, and Atal New India Challenges for technology innovation grants."),</w:t>
        <w:br/>
        <w:t xml:space="preserve">  h3("What an AIC Gets:"),</w:t>
        <w:br/>
        <w:t xml:space="preserve">  bullet("Up to ₹10 crore in grant funding from DST/NITI Aayog over 5 years"),</w:t>
        <w:br/>
        <w:t xml:space="preserve">  bullet("Recognition as a national-level incubation centre"),</w:t>
        <w:br/>
        <w:t xml:space="preserve">  bullet("Access to the AIM mentor network"),</w:t>
        <w:br/>
        <w:t xml:space="preserve">  bullet("Priority consideration for government procurement pilots"),</w:t>
        <w:br/>
        <w:t xml:space="preserve">  bullet("Connection to the broader AIC ecosystem across India"),</w:t>
        <w:br/>
        <w:t xml:space="preserve">  h3("Establishment Procedure for RGUKT:"),</w:t>
        <w:br/>
        <w:t xml:space="preserve">  para("Step 1 — Eligibility Confirmation: RGUKT-AP as a centrally funded deemed university is eligible to apply for AIC status. The institution must have existing infrastructure (labs, meeting rooms, some innovation history) and faculty with relevant expertise."),</w:t>
        <w:br/>
        <w:t xml:space="preserve">  para("Step 2 — Expression of Interest: NITI Aayog periodically opens AIC applications. RGUKT must submit an EoI describing its existing ecosystem, proposed incubation model, target sectors, and team composition."),</w:t>
        <w:br/>
        <w:t xml:space="preserve">  para("Step 3 — Detailed Proposal: Selected EoI applicants submit a detailed proposal including: business plan for the incubation centre, five-year operational budget, governance structure, mentorship plan, targeted startup cohort profile, and physical infrastructure plan."),</w:t>
        <w:br/>
        <w:t xml:space="preserve">  para("Step 4 — Presentation to AIM Committee: Shortlisted institutions present to an AIM review committee."),</w:t>
        <w:br/>
        <w:t xml:space="preserve">  para("Step 5 — Grant Agreement and Setup: Upon selection, a Grant Agreement is signed with DST. Funds are released in tranches based on milestone achievement — first tranche on signing, subsequent tranches on operational milestones (startups incubated, jobs created, funding raised by portfolio startups)."),</w:t>
        <w:br/>
        <w:t xml:space="preserve">  para("Step 6 — Operational Requirements: The AIC must incubate a minimum number of startups per year, maintain reporting to AIM, conduct regular Demo Days, and demonstrate portfolio startup outcomes."),</w:t>
        <w:br/>
        <w:t xml:space="preserve">  h3("What RGUKT Should Do Now:"),</w:t>
        <w:br/>
        <w:t xml:space="preserve">  para("Track the next AIM call for AIC applications at aim.gov.in. Start building internal documentation: faculty credentials, existing innovation projects, student startup history, and proposed governance structure. Engage with existing AIC holders at Hyderabad institutions for guidance on the application process."),</w:t>
        <w:br/>
        <w:t xml:space="preserve">  spacer()</w:t>
        <w:br/>
        <w:t>);</w:t>
        <w:br/>
        <w:br/>
        <w:t>// D13</w:t>
        <w:br/>
        <w:t>children.push(</w:t>
        <w:br/>
        <w:t xml:space="preserve">  h2("D13. Comprehensive Plan for National Level Startup Hackathon (25 marks)"),</w:t>
        <w:br/>
        <w:t xml:space="preserve">  para("Event Name: RGUKT Innovate — National Startup Hackathon (Proposed)", { bold: true }),</w:t>
        <w:br/>
        <w:t xml:space="preserve">  para("Objective: Create RGUKT's first national-level startup hackathon open to RGUKT students, RGUKT alumni, and registered startups with RGUKT founders. Build pipeline from idea → prototype → fundable startup."),</w:t>
        <w:br/>
        <w:t xml:space="preserve">  para("Format: 48-hour hybrid hackathon with physical hubs at all four RGUKT campuses + virtual participation enabled."),</w:t>
        <w:br/>
        <w:t xml:space="preserve">  h3("Tracks:"),</w:t>
        <w:br/>
        <w:t xml:space="preserve">  bullet("Track 1 — Student Innovation: Open to current RGUKT students. Problem statements sourced from government, industry partners, and RGUKT's own campus challenges."),</w:t>
        <w:br/>
        <w:t xml:space="preserve">  bullet("Track 2 — Alumni Startup: Open to RGUKT alumni who have started companies. Pitch + demo format rather than build format."),</w:t>
        <w:br/>
        <w:t xml:space="preserve">  bullet("Track 3 — Social Impact: Focus on problems in education, agriculture, rural development — directly relevant to AP context."),</w:t>
        <w:br/>
        <w:t xml:space="preserve">  h3("Prizes and Support:"),</w:t>
        <w:br/>
        <w:t xml:space="preserve">  makeTable(</w:t>
        <w:br/>
        <w:t xml:space="preserve">    ["Position", "Prize"],</w:t>
        <w:br/>
        <w:t xml:space="preserve">    [</w:t>
        <w:br/>
        <w:t xml:space="preserve">      ["Track 1 Winner", "₹3 lakhs + pre-incubation support"],</w:t>
        <w:br/>
        <w:t xml:space="preserve">      ["Track 1 Runner-up", "₹1.5 lakhs"],</w:t>
        <w:br/>
        <w:t xml:space="preserve">      ["Track 2 Best Alumni Startup", "₹2 lakhs + investor introductions"],</w:t>
        <w:br/>
        <w:t xml:space="preserve">      ["Social Impact Winner", "₹1.5 lakhs + AP startup policy support"],</w:t>
        <w:br/>
        <w:t xml:space="preserve">      ["Best Women-Led Team", "₹1 lakh"],</w:t>
        <w:br/>
        <w:t xml:space="preserve">    ],</w:t>
        <w:br/>
        <w:t xml:space="preserve">    [5000, 4360]</w:t>
        <w:br/>
        <w:t xml:space="preserve">  ),</w:t>
        <w:br/>
        <w:t xml:space="preserve">  spacer(),</w:t>
        <w:br/>
        <w:t xml:space="preserve">  h3("Organising Structure:"),</w:t>
        <w:br/>
        <w:t xml:space="preserve">  para("Pre-event (4 weeks): Applications open, problem statements released, participant teams formed. EITP interns manage registrations and communications. Pre-hackathon webinar (week 3): Judges introduce problem tracks; successful founders give 20-minute keynote."),</w:t>
        <w:br/>
        <w:t xml:space="preserve">  para("48-hour hackathon: Day 1 — problem exploration, team building, initial prototyping. Day 2 — build + pitch preparation. Final 4 hours — presentations to judges."),</w:t>
        <w:br/>
        <w:t xml:space="preserve">  para("Post-hackathon: Top 10 teams get immediate invitations to RGUKT pre-incubation programme. Top 3 teams get investor introduction meetings arranged within 30 days."),</w:t>
        <w:br/>
        <w:t xml:space="preserve">  h3("Funding the Event:"),</w:t>
        <w:br/>
        <w:t xml:space="preserve">  para("Sponsorship from 5–8 companies (₹2–5 lakhs each) — approach AP-based tech companies, Hyderabad startups, and RGUKT alumni-founded companies first. Apply for NITI Aayog / DST event support grants. Registration on Devfolio or Unstop — both are free for organisers and trusted by the hackathon community."),</w:t>
        <w:br/>
        <w:t xml:space="preserve">  para("Target registrations: 500+ teams. Expected active participants: 200+ teams."),</w:t>
        <w:br/>
        <w:t xml:space="preserve">  spacer()</w:t>
        <w:br/>
        <w:t>);</w:t>
        <w:br/>
        <w:br/>
        <w:t>// D14</w:t>
        <w:br/>
        <w:t>children.push(</w:t>
        <w:br/>
        <w:t xml:space="preserve">  h2("D14. AP 'One Family, One Entrepreneur' Policy and RGUKT Achievements (10 marks)"),</w:t>
        <w:br/>
        <w:t xml:space="preserve">  h3("What the Policy is:"),</w:t>
        <w:br/>
        <w:t xml:space="preserve">  para("The 'One Family, One Entrepreneur' initiative is part of AP's broader push to create an entrepreneurship culture at the grassroots level — particularly in rural AP. The policy encourages at least one member from every family to develop an entrepreneurial venture, supported through training, mentorship, market access, and startup support through APSSDC and the state's startup ecosystem."),</w:t>
        <w:br/>
        <w:t xml:space="preserve">  h3("Why It's Directly Relevant to RGUKT:"),</w:t>
        <w:br/>
        <w:t xml:space="preserve">  para("RGUKT's entire student body comes from rural AP families — first-generation learners, economically weaker sections, students from villages across all 13 districts. The 'One Family, One Entrepreneur' policy was literally designed for this demographic. RGUKT students who start ventures are the exact target population this policy intends to support."),</w:t>
        <w:br/>
        <w:t xml:space="preserve">  para("EITP should systematically connect RGUKT student entrepreneurs to this policy's benefits — training programmes, market linkages, and state recognition. A student like me, who has built a startup while studying at RGUKT, is a direct example of this policy working."),</w:t>
        <w:br/>
        <w:t xml:space="preserve">  para("RGUKT should document and publicise every student startup from its campuses as an achievement under this policy. It strengthens RGUKT's positioning as an institution that creates entrepreneurs, not just employees."),</w:t>
        <w:br/>
        <w:t xml:space="preserve">  sectionNote("Verify current implementation status, specific benefits, and RGUKT-AP's official achievements under this policy from AP government sources or EITP head office before submitting."),</w:t>
        <w:br/>
        <w:t xml:space="preserve">  spacer()</w:t>
        <w:br/>
        <w:t>);</w:t>
        <w:br/>
        <w:br/>
        <w:t>// D15</w:t>
        <w:br/>
        <w:t>children.push(</w:t>
        <w:br/>
        <w:t xml:space="preserve">  h2("D15. Features of Startup India Portal (10 marks)"),</w:t>
        <w:br/>
        <w:t xml:space="preserve">  para("Portal: startupindia.gov.in"),</w:t>
        <w:br/>
        <w:t xml:space="preserve">  h3("Key Features:"),</w:t>
        <w:br/>
        <w:t xml:space="preserve">  bullet("DPIIT Recognition: Startups apply online for official DPIIT recognition, unlocking tax exemptions, self-certification compliance, faster patent examination, and government tender participation."),</w:t>
        <w:br/>
        <w:t xml:space="preserve">  bullet("Learning Hub: Free courses and resources on startup building — legal structure, fundraising, marketing, operations. Accessible to students even before starting a company."),</w:t>
        <w:br/>
        <w:t xml:space="preserve">  bullet("Funding and Investors Directory: Lists government schemes, angel investors, VC funds, and grant programmes. Filterable by sector and stage."),</w:t>
        <w:br/>
        <w:t xml:space="preserve">  bullet("Mentor Connect: Directory of mentors across sectors who have volunteered to guide early-stage founders. RGUKT students can use this to find mentors outside their campus network."),</w:t>
        <w:br/>
        <w:t xml:space="preserve">  bullet("Startup India Hub: One-stop helpdesk for all startup queries — legal, tax, IP, registration. Staffed with actual advisors, not just FAQs."),</w:t>
        <w:br/>
        <w:t xml:space="preserve">  bullet("Schemes and Policies: Complete listing of central and state government schemes for startups — SISFS, BIRAC, Atal grants, and more."),</w:t>
        <w:br/>
        <w:t xml:space="preserve">  bullet("IP Facilitation: Faster processing and 80% fee rebate on patent filing for DPIIT-recognised startups."),</w:t>
        <w:br/>
        <w:t xml:space="preserve">  h3("Specific Benefit for RGUKT:"),</w:t>
        <w:br/>
        <w:t xml:space="preserve">  para("Any RGUKT student who incorporates a Private Limited Company can immediately apply for DPIIT recognition through this portal. The recognition is free, relatively quick (2–3 weeks), and unlocks real benefits — particularly the patent fee rebate and tax exemptions that make early-stage startup economics easier."),</w:t>
        <w:br/>
        <w:t xml:space="preserve">  spacer()</w:t>
        <w:br/>
        <w:t>);</w:t>
        <w:br/>
        <w:br/>
        <w:t>// D16</w:t>
        <w:br/>
        <w:t>children.push(</w:t>
        <w:br/>
        <w:t xml:space="preserve">  h2("D16. Features of MEITY Startup Hub Portal (10 marks)"),</w:t>
        <w:br/>
        <w:t xml:space="preserve">  para("Portal: msh.meity.gov.in"),</w:t>
        <w:br/>
        <w:t xml:space="preserve">  h3("What it is:"),</w:t>
        <w:br/>
        <w:t xml:space="preserve">  para("MEITY Startup Hub (MSH) is the Ministry of Electronics and IT's platform for technology startups specifically in the electronics, IT, and digital domains. It complements Startup India's broader scope with a more focused lens on tech innovation."),</w:t>
        <w:br/>
        <w:t xml:space="preserve">  h3("Key Features:"),</w:t>
        <w:br/>
        <w:t xml:space="preserve">  bullet("Startup Registration and Recognition: Tech startups can register on MSH for MEITY-specific recognition and visibility."),</w:t>
        <w:br/>
        <w:t xml:space="preserve">  bullet("Incubation Network: MSH maintains a network of MEITY-supported incubators across India. Registered startups can apply for incubation at these centres."),</w:t>
        <w:br/>
        <w:t xml:space="preserve">  bullet("Funding Programmes: MEITY's SAMRIDH scheme provides acceleration support and funding up to ₹40 lakhs for technology startups. TIDE 2.0 scheme supports ICT-based startups."),</w:t>
        <w:br/>
        <w:t xml:space="preserve">  bullet("Technology Access: Startups get access to design tools, testing facilities, and technology infrastructure through CDAC, STPI, and other MEITY entities."),</w:t>
        <w:br/>
        <w:t xml:space="preserve">  bullet("Market Connect: MSH connects startups with government departments for pilot programmes — particularly relevant for GovTech startups."),</w:t>
        <w:br/>
        <w:t xml:space="preserve">  bullet("Events and Challenges: MEITY regularly runs innovation challenges and Grand Challenges with significant prize money."),</w:t>
        <w:br/>
        <w:t xml:space="preserve">  h3("Relevance to RGUKT:"),</w:t>
        <w:br/>
        <w:t xml:space="preserve">  para("RGUKT's student population has strong ECE and CS backgrounds. Tech startups — in embedded systems, IoT, AI tools, or rural connectivity solutions — are a natural fit for MEITY's ecosystem. Students building in these domains should register on MSH alongside Startup India to access sector-specific benefits."),</w:t>
        <w:br/>
        <w:t xml:space="preserve">  para("The SAMRIDH scheme specifically is worth tracking — ₹40 lakhs in acceleration funding for a tech startup is substantial and the eligibility bar is achievable for a motivated RGUKT student team with a working prototype."),</w:t>
        <w:br/>
        <w:t xml:space="preserve">  spacer()</w:t>
        <w:br/>
        <w:t>);</w:t>
        <w:br/>
        <w:br/>
        <w:t>// ─── PART E ──────────────────────────────────────────────────────────────────</w:t>
        <w:br/>
        <w:t>children.push(</w:t>
        <w:br/>
        <w:t xml:space="preserve">  new Paragraph({ children: [new PageBreak()] }),</w:t>
        <w:br/>
        <w:t xml:space="preserve">  h1("PART E — DIGITAL AND AI LITERACY")</w:t>
        <w:br/>
        <w:t>);</w:t>
        <w:br/>
        <w:br/>
        <w:t>const eItems = [</w:t>
        <w:br/>
        <w:t xml:space="preserve">  ["E1. MS Office Proficiency (out of 10)", "Self-rating: 8/10", "Proficient in Word for document creation and formatting, Excel for data analysis and pivot tables, and PowerPoint for professional presentations. Regularly use Excel functions including VLOOKUP, INDEX-MATCH, and basic macros. Comfortable with all three for professional-grade output."],</w:t>
        <w:br/>
        <w:t xml:space="preserve">  ["E2. AI Tools Proficiency — ChatGPT, Gemini etc. (out of 10)", "Self-rating: 9/10", "Use ChatGPT, Claude, Gemini, and Perplexity daily. Skilled at prompt engineering — crafting specific, structured prompts that get useful, targeted outputs rather than generic responses. Have used AI tools for code debugging, research synthesis, content drafting, data interpretation, and workflow automation. Also built applications using OpenAI and Anthropic APIs, so understand AI tools both as a user and as a developer."],</w:t>
        <w:br/>
        <w:t xml:space="preserve">  ["E3. Poster Preparation Using AI Tools (out of 10)", "Self-rating: 8/10", "Use Canva with AI features, Adobe Express, and generative AI tools (Midjourney, DALL-E, Stable Diffusion) for image generation. Have created event posters, product marketing visuals, and technical infographic designs. Understand design principles — hierarchy, contrast, colour theory — and apply them in AI-assisted design workflows."],</w:t>
        <w:br/>
        <w:t xml:space="preserve">  ["E4. Communication Skills (out of 10)", "Self-rating: 7.5/10", "Strong written communication — technical documentation, stakeholder reports, email outreach. Verbal communication in English is professional and clear for presentations and interviews. My Telugu background and simultaneous exposure to IIT Madras's environment has built a practical professional communication style. Area of active improvement: public speaking confidence in large groups."],</w:t>
        <w:br/>
        <w:t xml:space="preserve">  ["E5. Professional Social Media (LinkedIn etc.) (out of 10)", "Self-rating: 8/10", "Active LinkedIn profile at linkedin.com/in/sreechakrareddy with consistent posting on technical projects, startup updates, and professional achievements. Understand how LinkedIn's algorithm works and how to optimise posts for visibility. Also active on GitHub (github.com/sreechakra180) with documented projects. Use professional networks not just for broadcasting but for relationship building — connecting with industry contacts and engaging meaningfully with peers' work."],</w:t>
        <w:br/>
        <w:t>];</w:t>
        <w:br/>
        <w:br/>
        <w:t>eItems.forEach(([q, rating, detail]) =&gt; {</w:t>
        <w:br/>
        <w:t xml:space="preserve">  children.push(</w:t>
        <w:br/>
        <w:t xml:space="preserve">    h2(q),</w:t>
        <w:br/>
        <w:t xml:space="preserve">    para(rating, { bold: true, color: "1F4E79" }),</w:t>
        <w:br/>
        <w:t xml:space="preserve">    para(detail),</w:t>
        <w:br/>
        <w:t xml:space="preserve">    spacer()</w:t>
        <w:br/>
        <w:t xml:space="preserve">  );</w:t>
        <w:br/>
        <w:t>});</w:t>
        <w:br/>
        <w:br/>
        <w:t>// ─── MASTER CHECKLIST ────────────────────────────────────────────────────────</w:t>
        <w:br/>
        <w:t>children.push(</w:t>
        <w:br/>
        <w:t xml:space="preserve">  new Paragraph({ children: [new PageBreak()] }),</w:t>
        <w:br/>
        <w:t xml:space="preserve">  h1("MASTER CHECKLIST — WHAT TO FILL BEFORE SUBMITTING"),</w:t>
        <w:br/>
        <w:t xml:space="preserve">  spacer(),</w:t>
        <w:br/>
        <w:t xml:space="preserve">  makeTable(</w:t>
        <w:br/>
        <w:t xml:space="preserve">    ["Section", "What to Fill / Verify"],</w:t>
        <w:br/>
        <w:t xml:space="preserve">    [</w:t>
        <w:br/>
        <w:t xml:space="preserve">      ["Part A — Mobile", "Add your WhatsApp number"],</w:t>
        <w:br/>
        <w:t xml:space="preserve">      ["B2", "HEC &amp; CEC Faculty Coordinator Name, Dept, Email (ask your campus HEC cell)"],</w:t>
        <w:br/>
        <w:t xml:space="preserve">      ["B4", "Verify actual dates, participant counts, and guest speakers with HEC coordinator"],</w:t>
        <w:br/>
        <w:t xml:space="preserve">      ["B6", "Fill in actual GATE-USP 2026 outcome numbers (qualifiers, AIRs, IIT admissions) from EITP/HEC records"],</w:t>
        <w:br/>
        <w:t xml:space="preserve">      ["B9", "Faculty SPOC names and emails for 2 departments — ask department office"],</w:t>
        <w:br/>
        <w:t xml:space="preserve">      ["B10", "Actual student names with GATE AIR below 100 — from campus records"],</w:t>
        <w:br/>
        <w:t xml:space="preserve">      ["C2", "TNP/CDPC staff name(s) at your campus"],</w:t>
        <w:br/>
        <w:t xml:space="preserve">      ["C5", "5 actual campus recruitment drives with real data — from TNP cell records"],</w:t>
        <w:br/>
        <w:t xml:space="preserve">      ["C17", "Actual training activities at RK Valley in AY 2025-26 — verify dates and vendors"],</w:t>
        <w:br/>
        <w:t xml:space="preserve">      ["C21", "10 alumni names with ID, company, email — from campus TNP office"],</w:t>
        <w:br/>
        <w:t xml:space="preserve">      ["D6", "SIH 2025-26 top 10 teams — from SIH campus coordinator or EITP hub"],</w:t>
        <w:br/>
        <w:t xml:space="preserve">      ["D7", "Verify RTIH AP specific details from rtih.in or official AP startup portal"],</w:t>
        <w:br/>
        <w:t xml:space="preserve">      ["D14", "Verify 'One Family, One Entrepreneur' current status and RGUKT achievements from EITP head office"],</w:t>
        <w:br/>
        <w:t xml:space="preserve">    ],</w:t>
        <w:br/>
        <w:t xml:space="preserve">    [2000, 7360]</w:t>
        <w:br/>
        <w:t xml:space="preserve">  ),</w:t>
        <w:br/>
        <w:t xml:space="preserve">  spacer(),</w:t>
        <w:br/>
        <w:t xml:space="preserve">  para("Final Step: Read through every answer once in your own voice before submitting. Anywhere it sounds like something you genuinely wouldn't say — change the phrasing. The committee is evaluating you specifically. Your natural voice, even if slightly less polished, is better than borrowed language.", { italics: true, bold: true }),</w:t>
        <w:br/>
        <w:t>);</w:t>
        <w:br/>
        <w:br/>
        <w:t>// ─── BUILD DOC ───────────────────────────────────────────────────────────────</w:t>
        <w:br/>
        <w:br/>
        <w:t>const doc = new Document({</w:t>
        <w:br/>
        <w:t xml:space="preserve">  numbering: {</w:t>
        <w:br/>
        <w:t xml:space="preserve">    config: [</w:t>
        <w:br/>
        <w:t xml:space="preserve">      {</w:t>
        <w:br/>
        <w:t xml:space="preserve">        reference: "bullets",</w:t>
        <w:br/>
        <w:t xml:space="preserve">        levels: [{</w:t>
        <w:br/>
        <w:t xml:space="preserve">          level: 0,</w:t>
        <w:br/>
        <w:t xml:space="preserve">          format: LevelFormat.BULLET,</w:t>
        <w:br/>
        <w:t xml:space="preserve">          text: "•",</w:t>
        <w:br/>
        <w:t xml:space="preserve">          alignment: AlignmentType.LEFT,</w:t>
        <w:br/>
        <w:t xml:space="preserve">          style: { paragraph: { indent: { left: 720, hanging: 360 } } }</w:t>
        <w:br/>
        <w:t xml:space="preserve">        }]</w:t>
        <w:br/>
        <w:t xml:space="preserve">      },</w:t>
        <w:br/>
        <w:t xml:space="preserve">      {</w:t>
        <w:br/>
        <w:t xml:space="preserve">        reference: "numbers",</w:t>
        <w:br/>
        <w:t xml:space="preserve">        levels: [{</w:t>
        <w:br/>
        <w:t xml:space="preserve">          level: 0,</w:t>
        <w:br/>
        <w:t xml:space="preserve">          format: LevelFormat.DECIMAL,</w:t>
        <w:br/>
        <w:t xml:space="preserve">          text: "%1.",</w:t>
        <w:br/>
        <w:t xml:space="preserve">          alignment: AlignmentType.LEFT,</w:t>
        <w:br/>
        <w:t xml:space="preserve">          style: { paragraph: { indent: { left: 720, hanging: 360 } } }</w:t>
        <w:br/>
        <w:t xml:space="preserve">        }]</w:t>
        <w:br/>
        <w:t xml:space="preserve">      }</w:t>
        <w:br/>
        <w:t xml:space="preserve">    ]</w:t>
        <w:br/>
        <w:t xml:space="preserve">  },</w:t>
        <w:br/>
        <w:t xml:space="preserve">  styles: {</w:t>
        <w:br/>
        <w:t xml:space="preserve">    default: {</w:t>
        <w:br/>
        <w:t xml:space="preserve">      document: { run: { font: "Arial", size: 22 } }</w:t>
        <w:br/>
        <w:t xml:space="preserve">    },</w:t>
        <w:br/>
        <w:t xml:space="preserve">    paragraphStyles: [</w:t>
        <w:br/>
        <w:t xml:space="preserve">      {</w:t>
        <w:br/>
        <w:t xml:space="preserve">        id: "Heading1", name: "Heading 1", basedOn: "Normal", next: "Normal", quickFormat: true,</w:t>
        <w:br/>
        <w:t xml:space="preserve">        run: { size: 28, bold: true, font: "Arial", color: "1F4E79" },</w:t>
        <w:br/>
        <w:t xml:space="preserve">        paragraph: { spacing: { before: 320, after: 160 }, outlineLevel: 0 }</w:t>
        <w:br/>
        <w:t xml:space="preserve">      },</w:t>
        <w:br/>
        <w:t xml:space="preserve">      {</w:t>
        <w:br/>
        <w:t xml:space="preserve">        id: "Heading2", name: "Heading 2", basedOn: "Normal", next: "Normal", quickFormat: true,</w:t>
        <w:br/>
        <w:t xml:space="preserve">        run: { size: 24, bold: true, font: "Arial", color: "2E75B6" },</w:t>
        <w:br/>
        <w:t xml:space="preserve">        paragraph: { spacing: { before: 240, after: 120 }, outlineLevel: 1 }</w:t>
        <w:br/>
        <w:t xml:space="preserve">      },</w:t>
        <w:br/>
        <w:t xml:space="preserve">    ]</w:t>
        <w:br/>
        <w:t xml:space="preserve">  },</w:t>
        <w:br/>
        <w:t xml:space="preserve">  sections: [{</w:t>
        <w:br/>
        <w:t xml:space="preserve">    properties: {</w:t>
        <w:br/>
        <w:t xml:space="preserve">      page: {</w:t>
        <w:br/>
        <w:t xml:space="preserve">        size: { width: 12240, height: 15840 },</w:t>
        <w:br/>
        <w:t xml:space="preserve">        margin: { top: 1080, right: 1080, bottom: 1080, left: 1080 }</w:t>
        <w:br/>
        <w:t xml:space="preserve">      }</w:t>
        <w:br/>
        <w:t xml:space="preserve">    },</w:t>
        <w:br/>
        <w:t xml:space="preserve">    children</w:t>
        <w:br/>
        <w:t xml:space="preserve">  }]</w:t>
        <w:br/>
        <w:t>});</w:t>
        <w:br/>
        <w:br/>
        <w:t>Packer.toBuffer(doc).then(buffer =&gt; {</w:t>
        <w:br/>
        <w:t xml:space="preserve">  fs.writeFileSync('/mnt/user-data/outputs/EITP_Complete_Application.docx', buffer);</w:t>
        <w:br/>
        <w:t xml:space="preserve">  console.log('Done! File written.');</w:t>
        <w:br/>
        <w:t>}).catch(err =&gt; {</w:t>
        <w:br/>
        <w:t xml:space="preserve">  console.error('Error:', err);</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