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105525" cy="37480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6183" t="327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748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38852" cy="15798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852" cy="1579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83787" cy="29034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3787" cy="290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built and launched a five-agent scientific lab on Omnigent to test how well a compact, zero-shot ESM-2 model predicts mutation stability effects (ΔΔG). The workflow loaded and the agents began running. A complete experiment was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finished in the hackathon window, because the Gemini API key we used reached its free-tier daily quota. </w:t>
      </w:r>
      <w:r w:rsidDel="00000000" w:rsidR="00000000" w:rsidRPr="00000000">
        <w:rPr>
          <w:b w:val="1"/>
          <w:bCs w:val="1"/>
          <w:rtl w:val="0"/>
        </w:rPr>
        <w:t xml:space="preserve">No Spearman correlation was computed in this run, so we report no accuracy or speed-up figures.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demonstrated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Omnigent director and five specialist agents (literature, hypothesis, planner, runner, analysis) load from a single specification file (Figure 1).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agents started working: the lab searched the web for literature on zero-shot protein language models and ΔΔG, and wrote to a shared research log. </w:t>
      </w:r>
      <w:r w:rsidDel="00000000" w:rsidR="00000000" w:rsidRPr="00000000">
        <w:rPr>
          <w:i w:val="1"/>
          <w:iCs w:val="1"/>
          <w:rtl w:val="0"/>
        </w:rPr>
        <w:t xml:space="preserve">(Add the screenshot of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search_web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view_file</w:t>
      </w:r>
      <w:r w:rsidDel="00000000" w:rsidR="00000000" w:rsidRPr="00000000">
        <w:rPr>
          <w:i w:val="1"/>
          <w:iCs w:val="1"/>
          <w:rtl w:val="0"/>
        </w:rPr>
        <w:t xml:space="preserve"> calls if you have it.)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found and worked around a safety restriction that blocked the runner agent's shell. We replaced it with two restricted tools,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pip_install</w:t>
      </w:r>
      <w:r w:rsidDel="00000000" w:rsidR="00000000" w:rsidRPr="00000000">
        <w:rPr>
          <w:rtl w:val="0"/>
        </w:rPr>
        <w:t xml:space="preserve">, so code runs only through them.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blocked the experiment</w:t>
      </w:r>
      <w:r w:rsidDel="00000000" w:rsidR="00000000" w:rsidRPr="00000000">
        <w:rPr>
          <w:rtl w:val="0"/>
        </w:rPr>
        <w:t xml:space="preserve"> (Figure 2)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Gemini API returned a quota error (HTTP 429): the free tier allowed 20 requests per day for the model, and a multi-agent run uses that quickly.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attempts also hit temporary 503 "high demand" errors from the provider.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this means.</w:t>
      </w:r>
      <w:r w:rsidDel="00000000" w:rsidR="00000000" w:rsidRPr="00000000">
        <w:rPr>
          <w:rtl w:val="0"/>
        </w:rPr>
        <w:t xml:space="preserve"> The orchestration and agent design are in place, but the central scientific claim is still </w:t>
      </w:r>
      <w:r w:rsidDel="00000000" w:rsidR="00000000" w:rsidRPr="00000000">
        <w:rPr>
          <w:b w:val="1"/>
          <w:bCs w:val="1"/>
          <w:rtl w:val="0"/>
        </w:rPr>
        <w:t xml:space="preserve">untested</w:t>
      </w:r>
      <w:r w:rsidDel="00000000" w:rsidR="00000000" w:rsidRPr="00000000">
        <w:rPr>
          <w:rtl w:val="0"/>
        </w:rPr>
        <w:t xml:space="preserve">. The planned experiment compares ESM-2 pseudo-log-likelihood scores against BLOSUM62 and random baselines on one stability benchmark, reporting Spearman ρ with a bootstrap confidence interval.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Next step.</w:t>
      </w:r>
      <w:r w:rsidDel="00000000" w:rsidR="00000000" w:rsidRPr="00000000">
        <w:rPr>
          <w:rtl w:val="0"/>
        </w:rPr>
        <w:t xml:space="preserve"> Re-run the lab with a billed API key or another model provider, complete the two budgeted experiments, and fill in the results table and the measured speed-up.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