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QA / Evaluation Lab — UI/UX Design</w:t>
      </w:r>
    </w:p>
    <w:p>
      <w:pPr>
        <w:jc w:val="center"/>
      </w:pPr>
      <w:r>
        <w:rPr>
          <w:i/>
          <w:sz w:val="21"/>
        </w:rPr>
        <w:t>Visual system, layout guidance, and screen behavior</w:t>
      </w:r>
    </w:p>
    <w:p/>
    <w:p>
      <w:pPr>
        <w:pStyle w:val="Heading1"/>
      </w:pPr>
      <w:r>
        <w:t>1. Visual Direction</w:t>
      </w:r>
    </w:p>
    <w:p>
      <w:pPr>
        <w:spacing w:after="120"/>
      </w:pPr>
      <w:r>
        <w:t>The product should look like a premium engineering tool: calm, precise, dense, and modern.</w:t>
      </w:r>
    </w:p>
    <w:p>
      <w:pPr>
        <w:spacing w:after="120"/>
      </w:pPr>
      <w:r>
        <w:t>Avoid playful illustration-heavy styling.</w:t>
      </w:r>
    </w:p>
    <w:p>
      <w:pPr>
        <w:spacing w:after="120"/>
      </w:pPr>
      <w:r>
        <w:t>The interface should communicate rigor, trust, and observability.</w:t>
      </w:r>
    </w:p>
    <w:p/>
    <w:p>
      <w:pPr>
        <w:pStyle w:val="Heading1"/>
      </w:pPr>
      <w:r>
        <w:t>2. Color Palette</w:t>
      </w:r>
    </w:p>
    <w:p>
      <w:pPr>
        <w:spacing w:after="120"/>
      </w:pPr>
      <w:r>
        <w:t>Primary background: near-black or deep slate for dark mode, with a bright but controlled light mode.</w:t>
      </w:r>
    </w:p>
    <w:p>
      <w:pPr>
        <w:spacing w:after="120"/>
      </w:pPr>
      <w:r>
        <w:t>Accent color: electric blue or violet for actions, links, and selected states.</w:t>
      </w:r>
    </w:p>
    <w:p>
      <w:pPr>
        <w:spacing w:after="120"/>
      </w:pPr>
      <w:r>
        <w:t>Status colors: green for pass, amber for warning, red for failure, neutral gray for inactive.</w:t>
      </w:r>
    </w:p>
    <w:p>
      <w:pPr>
        <w:spacing w:after="120"/>
      </w:pPr>
      <w:r>
        <w:t>Use background surfaces with subtle contrast, not loud gradients.</w:t>
      </w:r>
    </w:p>
    <w:p/>
    <w:p>
      <w:pPr>
        <w:pStyle w:val="Heading1"/>
      </w:pPr>
      <w:r>
        <w:t>3. Typography</w:t>
      </w:r>
    </w:p>
    <w:p>
      <w:pPr>
        <w:spacing w:after="120"/>
      </w:pPr>
      <w:r>
        <w:t>Use a clean sans-serif for UI text and a monospaced font for trace logs, code snippets, and structured outputs.</w:t>
      </w:r>
    </w:p>
    <w:p>
      <w:pPr>
        <w:spacing w:after="120"/>
      </w:pPr>
      <w:r>
        <w:t>Headlines should be bold but compact.</w:t>
      </w:r>
    </w:p>
    <w:p>
      <w:pPr>
        <w:spacing w:after="120"/>
      </w:pPr>
      <w:r>
        <w:t>Body text should prioritize readability at high information density.</w:t>
      </w:r>
    </w:p>
    <w:p/>
    <w:p>
      <w:pPr>
        <w:pStyle w:val="Heading1"/>
      </w:pPr>
      <w:r>
        <w:t>4. Component Language</w:t>
      </w:r>
    </w:p>
    <w:p>
      <w:pPr>
        <w:spacing w:after="120"/>
      </w:pPr>
      <w:r>
        <w:t>Cards should have soft borders, gentle shadows, and rounded corners.</w:t>
      </w:r>
    </w:p>
    <w:p>
      <w:pPr>
        <w:spacing w:after="120"/>
      </w:pPr>
      <w:r>
        <w:t>Tables should support sticky headers, filters, sorting, and compact row height.</w:t>
      </w:r>
    </w:p>
    <w:p>
      <w:pPr>
        <w:spacing w:after="120"/>
      </w:pPr>
      <w:r>
        <w:t>Use badges for status labels and chips for tags.</w:t>
      </w:r>
    </w:p>
    <w:p>
      <w:pPr>
        <w:spacing w:after="120"/>
      </w:pPr>
      <w:r>
        <w:t>Use split panes for trace inspection and comparison views.</w:t>
      </w:r>
    </w:p>
    <w:p>
      <w:pPr>
        <w:spacing w:after="120"/>
      </w:pPr>
      <w:r>
        <w:t>Use tabs for prompt versions, metrics, and notes.</w:t>
      </w:r>
    </w:p>
    <w:p/>
    <w:p>
      <w:pPr>
        <w:pStyle w:val="Heading1"/>
      </w:pPr>
      <w:r>
        <w:t>5. Motion Rules</w:t>
      </w:r>
    </w:p>
    <w:p>
      <w:pPr>
        <w:spacing w:after="120"/>
      </w:pPr>
      <w:r>
        <w:t>Motion should reinforce state changes: drawer open, run progress, trace expansion, compare modal.</w:t>
      </w:r>
    </w:p>
    <w:p>
      <w:pPr>
        <w:spacing w:after="120"/>
      </w:pPr>
      <w:r>
        <w:t>Avoid large decorative animations.</w:t>
      </w:r>
    </w:p>
    <w:p>
      <w:pPr>
        <w:spacing w:after="120"/>
      </w:pPr>
      <w:r>
        <w:t>Use motion only where it clarifies navigation or response feedback.</w:t>
      </w:r>
    </w:p>
    <w:p/>
    <w:p>
      <w:pPr>
        <w:pStyle w:val="Heading1"/>
      </w:pPr>
      <w:r>
        <w:t>6. Screen Layout Guidance</w:t>
      </w:r>
    </w:p>
    <w:p>
      <w:pPr>
        <w:spacing w:after="120"/>
      </w:pPr>
      <w:r>
        <w:t>Landing page: hero, product demo, workflow diagram, features, proof section, CTA.</w:t>
      </w:r>
    </w:p>
    <w:p>
      <w:pPr>
        <w:spacing w:after="120"/>
      </w:pPr>
      <w:r>
        <w:t>Dashboard: three-column feel on desktop with run health, recent activity, and alerts.</w:t>
      </w:r>
    </w:p>
    <w:p>
      <w:pPr>
        <w:spacing w:after="120"/>
      </w:pPr>
      <w:r>
        <w:t>Prompt editor: left metadata panel, center editor, right live preview and test runner.</w:t>
      </w:r>
    </w:p>
    <w:p>
      <w:pPr>
        <w:spacing w:after="120"/>
      </w:pPr>
      <w:r>
        <w:t>Dataset page: table-first layout with filters and case drawer.</w:t>
      </w:r>
    </w:p>
    <w:p>
      <w:pPr>
        <w:spacing w:after="120"/>
      </w:pPr>
      <w:r>
        <w:t>Run detail: header summary, progress bar, case list, trace preview panel.</w:t>
      </w:r>
    </w:p>
    <w:p>
      <w:pPr>
        <w:spacing w:after="120"/>
      </w:pPr>
      <w:r>
        <w:t>Trace viewer: timeline on the left, details panel on the right.</w:t>
      </w:r>
    </w:p>
    <w:p>
      <w:pPr>
        <w:spacing w:after="120"/>
      </w:pPr>
      <w:r>
        <w:t>Comparison page: two-column diff plus metric chart strip.</w:t>
      </w:r>
    </w:p>
    <w:p>
      <w:pPr>
        <w:spacing w:after="120"/>
      </w:pPr>
      <w:r>
        <w:t>Settings: grouped forms with clear section dividers.</w:t>
      </w:r>
    </w:p>
    <w:p/>
    <w:p>
      <w:pPr>
        <w:pStyle w:val="Heading1"/>
      </w:pPr>
      <w:r>
        <w:t>7. Empty and Error States</w:t>
      </w:r>
    </w:p>
    <w:p>
      <w:pPr>
        <w:spacing w:after="120"/>
      </w:pPr>
      <w:r>
        <w:t>Empty states should teach the next action with one primary CTA.</w:t>
      </w:r>
    </w:p>
    <w:p>
      <w:pPr>
        <w:spacing w:after="120"/>
      </w:pPr>
      <w:r>
        <w:t>Failure states should explain what failed and how to recover.</w:t>
      </w:r>
    </w:p>
    <w:p>
      <w:pPr>
        <w:spacing w:after="120"/>
      </w:pPr>
      <w:r>
        <w:t>Loading states should preserve layout to avoid jumpy resizing.</w:t>
      </w:r>
    </w:p>
    <w:p/>
    <w:p>
      <w:pPr>
        <w:pStyle w:val="Heading1"/>
      </w:pPr>
      <w:r>
        <w:t>8. Accessibility Rules</w:t>
      </w:r>
    </w:p>
    <w:p>
      <w:pPr>
        <w:spacing w:after="120"/>
      </w:pPr>
      <w:r>
        <w:t>Maintain strong contrast ratios.</w:t>
      </w:r>
    </w:p>
    <w:p>
      <w:pPr>
        <w:spacing w:after="120"/>
      </w:pPr>
      <w:r>
        <w:t>Use keyboard navigable tables, drawers, and modals.</w:t>
      </w:r>
    </w:p>
    <w:p>
      <w:pPr>
        <w:spacing w:after="120"/>
      </w:pPr>
      <w:r>
        <w:t>Every icon-only action needs an accessible label.</w:t>
      </w:r>
    </w:p>
    <w:p>
      <w:pPr>
        <w:spacing w:after="120"/>
      </w:pPr>
      <w:r>
        <w:t>Do not rely on color alone to communicate pass or fail.</w:t>
      </w:r>
    </w:p>
    <w:p/>
    <w:p>
      <w:pPr>
        <w:pStyle w:val="Heading1"/>
      </w:pPr>
      <w:r>
        <w:t>9. Visual Consistency Rules</w:t>
      </w:r>
    </w:p>
    <w:p>
      <w:pPr>
        <w:spacing w:after="120"/>
      </w:pPr>
      <w:r>
        <w:t>Keep spacing tokens consistent across pages.</w:t>
      </w:r>
    </w:p>
    <w:p>
      <w:pPr>
        <w:spacing w:after="120"/>
      </w:pPr>
      <w:r>
        <w:t>Use the same status chips everywhere.</w:t>
      </w:r>
    </w:p>
    <w:p>
      <w:pPr>
        <w:spacing w:after="120"/>
      </w:pPr>
      <w:r>
        <w:t>Use the same diff visualization for prompts, runs, and comparisons.</w:t>
      </w:r>
    </w:p>
    <w:p>
      <w:pPr>
        <w:spacing w:after="120"/>
      </w:pPr>
      <w:r>
        <w:t>All actions that mutate data should feel deliberate and trackable.</w:t>
      </w:r>
    </w:p>
    <w:p/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  <w:r>
      <w:t xml:space="preserve"> | AtlasFlow / AI QA Evaluation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