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57"/>
          <w:sz w:val="34"/>
        </w:rPr>
        <w:t>Nylon-Aramid Hybrid Cords — Design, Reverse-Engineering &amp; Performance</w:t>
      </w:r>
    </w:p>
    <w:p>
      <w:r>
        <w:rPr>
          <w:i/>
          <w:color w:val="555555"/>
          <w:sz w:val="19"/>
        </w:rPr>
        <w:t>Zero-degree belt / cap-ply cords in PCR tires · 100 strict-cohort patents (31 with a wear claim) · audited, motorcycle-excluded</w:t>
      </w:r>
    </w:p>
    <w:p>
      <w:pPr>
        <w:spacing w:after="40"/>
      </w:pPr>
    </w:p>
    <w:p>
      <w:r>
        <w:rPr>
          <w:b/>
          <w:color w:val="1F3B57"/>
          <w:sz w:val="30"/>
        </w:rPr>
        <w:t>1.  What this cord is, and why</w:t>
      </w:r>
    </w:p>
    <w:p>
      <w:pPr>
        <w:spacing w:after="60"/>
      </w:pPr>
      <w:r>
        <w:t>The Nylon-Aramid hybrid is a zero-degree cap-ply cord that pairs a low-shrink, high-modulus aramid filament with a flexible nylon-6.6 filament to give a two-stage (“J-shaped”) load–elongation response. Nylon carries the low-load region (flexibility, fatigue life, and post-cure shrink that tightens the cap ply during cure); aramid carries the high-load region (crown stiffness retained at speed and temperature). The design intent is high-speed durability and crown control — wear/mileage is a secondary, indirect benefit via footprint uniformity, not an abrasion-chemistry effect.</w:t>
      </w:r>
    </w:p>
    <w:p>
      <w:r>
        <w:rPr>
          <w:b/>
          <w:color w:val="1F3B57"/>
          <w:sz w:val="30"/>
        </w:rPr>
        <w:t>2.  Canonical construction (reverse-engineering datasheet)</w:t>
      </w:r>
    </w:p>
    <w:p>
      <w:pPr>
        <w:spacing w:after="60"/>
      </w:pPr>
      <w:r>
        <w:t>Construction is consistent across assignees. A typical teardown shows: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Typical value(s) in the corpus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Aramid linear density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1670 / 1400 / 1100 dtex (load-bearing filament)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Nylon linear density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940 dtex is the signature value; nylon-6.6 in ~half the cohort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Ply / construction code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mostly 2-ply — e.g. 1100/2, 1670/2, 1840/2 (some single-end)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Twist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200–500 TPM (peaks at 200, 300, 500), balanced ply-twist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Cord density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50–90 ends/dm (EPDM), centred ~80, spiral-wound cap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Dual-modulus step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modulus ratio ~1.5 — the defining two-stage signature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/>
                <w:sz w:val="19"/>
              </w:rPr>
              <w:t>Assembly style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sz w:val="19"/>
              </w:rPr>
              <w:t>co-twisted / cabled together dominates (43 patents); true core-sheath is the minority — and is nylon-core / aramid-sheath more often than the reverse</w:t>
            </w:r>
          </w:p>
        </w:tc>
      </w:tr>
    </w:tbl>
    <w:p>
      <w:pPr>
        <w:spacing w:after="60"/>
      </w:pPr>
      <w:r/>
    </w:p>
    <w:p>
      <w:pPr>
        <w:pStyle w:val="ListBullet"/>
        <w:spacing w:after="60"/>
      </w:pPr>
      <w:r>
        <w:t>Reverse-engineering tells: aramid is almost never branded (5% name Kevlar/Twaron/Technora) — a generic, low-heat-shrink high-modulus filament co-twisted with a 940-dtex PA66 filament at ~300 TPM is the textbook hybrid. Dimensional-stability / heat-set terms appear in 43% of patents (shrinkage ~0.5–4%); the aramid's low heat-shrink and the nylon's high shrink are the fingerprints in a cross-section.</w:t>
      </w:r>
    </w:p>
    <w:p>
      <w:r>
        <w:rPr>
          <w:b/>
          <w:color w:val="1F3B57"/>
          <w:sz w:val="30"/>
        </w:rPr>
        <w:t>3.  Performance levers and the failure mode to manage</w:t>
      </w:r>
    </w:p>
    <w:p>
      <w:pPr>
        <w:pStyle w:val="ListBullet"/>
        <w:spacing w:after="60"/>
      </w:pPr>
      <w:r>
        <w:t>Distinctive wear levers vs. an all-PCR baseline are in the cord itself: core-sheath/wrap (2.0×), dual-modulus (1.9×) and twist tuning (1.8×). Adhesion/dip and zoned density are NOT distinctive to Nylon-Aramid.</w:t>
      </w:r>
    </w:p>
    <w:p>
      <w:pPr>
        <w:pStyle w:val="ListBullet"/>
        <w:spacing w:after="60"/>
      </w:pPr>
      <w:r>
        <w:t>The aramid stiffness step creates an uneven-wear risk at the cord's modulus transition. This is why the cohort leans defensive (fixing uneven wear) and why twist tuning and modulus grading recur — they exist largely to engineer that transition out. Pre-empt this failure mode in any new design.</w:t>
      </w:r>
    </w:p>
    <w:p>
      <w:r>
        <w:rPr>
          <w:b/>
          <w:color w:val="1F3B57"/>
          <w:sz w:val="30"/>
        </w:rPr>
        <w:t>4.  IP landscape — design freedom &amp; who to read</w:t>
      </w:r>
    </w:p>
    <w:p>
      <w:pPr>
        <w:pStyle w:val="ListBullet"/>
        <w:spacing w:after="60"/>
      </w:pPr>
      <w:r>
        <w:t>Legal status: 74 DEAD / 26 ALIVE. The large expired body is effectively a free-to-practice reverse-engineering library — the canonical recipe above is largely off-patent.</w:t>
      </w:r>
    </w:p>
    <w:p>
      <w:pPr>
        <w:pStyle w:val="ListBullet"/>
        <w:spacing w:after="60"/>
      </w:pPr>
      <w:r>
        <w:t>Live art (26 patents, 8 with a wear claim) clusters 2018–2025 and is the FTO-relevant set — recent holders include Goodyear, Yokohama, Sumitomo, Pirelli and Hyosung. The wear-specific angle is thin and mostly dead: an opportunity, but validate against live PET/PA “center-vs-edge” zoned-density art.</w:t>
      </w:r>
    </w:p>
    <w:p>
      <w:pPr>
        <w:pStyle w:val="ListBullet"/>
        <w:spacing w:after="60"/>
      </w:pPr>
      <w:r>
        <w:t>Where the know-how sits: Bridgestone Corp (16), The Goodyear Tire &amp; Rubber Co (12), Yokohama Rubber Co Ltd (11), Michelin Research &amp; Technology Co Ltd (9), Sumitomo Rubber Ind Ltd (8), Continental Reifen Deutschland Gmbh (5). For the yarn/cord engineering specifically, read the cord-makers Kordsa and Hyosung.</w:t>
      </w:r>
    </w:p>
    <w:p>
      <w:r>
        <w:rPr>
          <w:b/>
          <w:color w:val="1F3B57"/>
          <w:sz w:val="30"/>
        </w:rPr>
        <w:t>5.  Practical takeaways</w:t>
      </w:r>
    </w:p>
    <w:p>
      <w:pPr>
        <w:pStyle w:val="ListBullet"/>
        <w:spacing w:after="60"/>
      </w:pPr>
      <w:r>
        <w:t>Specifying a cord: start from aramid ~1670 dtex + nylon-6.6 940 dtex, 2-ply, ~300 TPM, ~80 ends/dm spiral cap, ~1.5× modulus step; then tune twist/grading to suppress the uneven-wear transition.</w:t>
      </w:r>
    </w:p>
    <w:p>
      <w:pPr>
        <w:pStyle w:val="ListBullet"/>
        <w:spacing w:after="60"/>
      </w:pPr>
      <w:r>
        <w:t>Reverse-engineering a competitor: the co-twist vs. nylon-core/aramid-sheath distinction, the 940-dtex nylon tell, and the aramid low-heat-shrink signature are your fingerprints.</w:t>
      </w:r>
    </w:p>
    <w:p>
      <w:pPr>
        <w:pStyle w:val="ListBullet"/>
        <w:spacing w:after="60"/>
      </w:pPr>
      <w:r>
        <w:t>Positioning performance: sell high-speed / high-temperature durability and crown stiffness; treat mileage as a derived benefit; pre-empt the uneven-wear failure mode.</w:t>
      </w:r>
    </w:p>
    <w:p>
      <w:r>
        <w:rPr>
          <w:i/>
          <w:color w:val="777777"/>
          <w:sz w:val="17"/>
        </w:rPr>
        <w:t>Method note: figures are text-mined from PatSeer fields + AI summaries over the strict Nylon-Aramid cohort (n=100); high recall — spot-check claims before quoting an individual patent. Corpus skews pre-2015; legal status as of the export date.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