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Medical Insurance Cost Predictor: An Explainable Regression-Based Approach for Instant Premium Estimation</w:t>
      </w:r>
    </w:p>
    <w:p>
      <w:pPr>
        <w:spacing w:after="40"/>
        <w:jc w:val="center"/>
      </w:pPr>
      <w:r>
        <w:rPr>
          <w:rFonts w:ascii="Times New Roman" w:cs="Times New Roman" w:eastAsia="Times New Roman" w:hAnsi="Times New Roman"/>
          <w:sz w:val="22"/>
          <w:szCs w:val="22"/>
        </w:rPr>
        <w:t xml:space="preserve">Ashritha (2420030005)   </w:t>
      </w:r>
      <w:r>
        <w:rPr>
          <w:rFonts w:ascii="Times New Roman" w:cs="Times New Roman" w:eastAsia="Times New Roman" w:hAnsi="Times New Roman"/>
          <w:sz w:val="22"/>
          <w:szCs w:val="22"/>
        </w:rPr>
        <w:t xml:space="preserve">Sreeja (2420030003)   </w:t>
      </w:r>
      <w:r>
        <w:rPr>
          <w:rFonts w:ascii="Times New Roman" w:cs="Times New Roman" w:eastAsia="Times New Roman" w:hAnsi="Times New Roman"/>
          <w:sz w:val="22"/>
          <w:szCs w:val="22"/>
        </w:rPr>
        <w:t xml:space="preserve">Anirudh (2420030152)</w:t>
      </w:r>
    </w:p>
    <w:p>
      <w:pPr>
        <w:spacing w:after="40"/>
        <w:jc w:val="center"/>
      </w:pPr>
      <w:r>
        <w:rPr>
          <w:rFonts w:ascii="Times New Roman" w:cs="Times New Roman" w:eastAsia="Times New Roman" w:hAnsi="Times New Roman"/>
          <w:i/>
          <w:iCs/>
          <w:sz w:val="20"/>
          <w:szCs w:val="20"/>
        </w:rPr>
        <w:t xml:space="preserve">Department of Computer Science and Engineering</w:t>
      </w:r>
    </w:p>
    <w:p>
      <w:pPr>
        <w:spacing w:after="40"/>
        <w:jc w:val="center"/>
      </w:pPr>
      <w:r>
        <w:rPr>
          <w:rFonts w:ascii="Times New Roman" w:cs="Times New Roman" w:eastAsia="Times New Roman" w:hAnsi="Times New Roman"/>
          <w:i/>
          <w:iCs/>
          <w:sz w:val="20"/>
          <w:szCs w:val="20"/>
        </w:rPr>
        <w:t xml:space="preserve">KLH CSE Bowrampet Campus</w:t>
      </w:r>
    </w:p>
    <w:p>
      <w:pPr>
        <w:spacing w:after="200"/>
        <w:jc w:val="center"/>
      </w:pPr>
      <w:r>
        <w:rPr>
          <w:rFonts w:ascii="Times New Roman" w:cs="Times New Roman" w:eastAsia="Times New Roman" w:hAnsi="Times New Roman"/>
          <w:i/>
          <w:iCs/>
          <w:sz w:val="20"/>
          <w:szCs w:val="20"/>
        </w:rPr>
        <w:t xml:space="preserve">Under the Guidance of Dr. Prathusha</w:t>
      </w:r>
    </w:p>
    <w:p>
      <w:pPr>
        <w:spacing w:after="80"/>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i/>
          <w:iCs/>
          <w:sz w:val="18"/>
          <w:szCs w:val="18"/>
        </w:rPr>
        <w:t xml:space="preserve">Medical insurance premiums are computed by insurers using pricing formulas that are rarely disclosed to the public, leaving individuals unable to obtain even a rough cost estimate before committing to detailed applications. This paper proposes a lightweight, regression-based machine learning system that predicts an individual's annual medical insurance cost from a small set of easily available demographic and lifestyle attributes: age, sex, body mass index (BMI), number of dependents, smoking status, and region. Three regression approaches — Linear Regression, Random Forest, and Gradient Boosting (XGBoost) — are trained and benchmarked on a publicly available medical cost dataset using RMSE, MAE, and R² to identify the best-performing model. Unlike existing commercial tools, which either demand full underwriting-level data or return an opaque price with no justification, the proposed system is designed to surface the key cost-driving factors alongside its prediction, giving users an instant, transparent, and explainable planning estimate. The result is a simple Collect → Analyze → Train → Estimate pipeline intended purely as a decision-support aid for early financial planning, not as a substitute for an actual insurer quotation.</w:t>
      </w:r>
    </w:p>
    <w:p>
      <w:pPr>
        <w:spacing w:after="160"/>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i/>
          <w:iCs/>
          <w:sz w:val="18"/>
          <w:szCs w:val="18"/>
        </w:rPr>
        <w:t xml:space="preserve">medical insurance cost prediction, regression analysis, machine learning, explainable AI, Random Forest, Gradient Boosting, feature importance</w:t>
      </w:r>
    </w:p>
    <w:p>
      <w:pPr>
        <w:sectPr>
          <w:pgSz w:w="11906" w:h="16838" w:orient="portrait"/>
          <w:pgMar w:top="1440" w:right="1080" w:bottom="1080" w:left="1080" w:header="708" w:footer="708" w:gutter="0"/>
          <w:pgNumType/>
          <w:docGrid w:linePitch="360"/>
        </w:sectPr>
      </w:pPr>
    </w:p>
    <w:p>
      <w:pPr>
        <w:pStyle w:val="Heading1"/>
        <w:spacing w:after="120" w:before="200"/>
        <w:jc w:val="center"/>
      </w:pPr>
      <w:r>
        <w:rPr>
          <w:rFonts w:ascii="Times New Roman" w:cs="Times New Roman" w:eastAsia="Times New Roman" w:hAnsi="Times New Roman"/>
          <w:b/>
          <w:bCs/>
          <w:sz w:val="20"/>
          <w:szCs w:val="20"/>
        </w:rPr>
        <w:t xml:space="preserve">I. INTRODUCTION</w:t>
      </w:r>
    </w:p>
    <w:p>
      <w:pPr>
        <w:spacing w:after="120" w:line="276"/>
        <w:ind w:firstLine="0"/>
        <w:jc w:val="both"/>
      </w:pPr>
      <w:r>
        <w:rPr>
          <w:rFonts w:ascii="Times New Roman" w:cs="Times New Roman" w:eastAsia="Times New Roman" w:hAnsi="Times New Roman"/>
          <w:sz w:val="18"/>
          <w:szCs w:val="18"/>
        </w:rPr>
        <w:t xml:space="preserve">The price of a medical insurance policy depends on a complex interaction of personal factors — age, body mass index (BMI), smoking status, region, and number of dependents — combined through pricing formulas that insurers do not disclose to customers. As a result, individuals have no reliable way to estimate their likely premium before undergoing a full application process. Existing comparison tools compound this problem: most require complete personal and policy details before returning any figure, which prevents quick, no-commitment estimation. Without an early cost signal, people struggle to budget for healthcare or compare plans meaningfully ahead of enrollment.</w:t>
      </w:r>
    </w:p>
    <w:p>
      <w:pPr>
        <w:spacing w:after="120" w:line="276"/>
        <w:ind w:firstLine="220"/>
        <w:jc w:val="both"/>
      </w:pPr>
      <w:r>
        <w:rPr>
          <w:rFonts w:ascii="Times New Roman" w:cs="Times New Roman" w:eastAsia="Times New Roman" w:hAnsi="Times New Roman"/>
          <w:sz w:val="18"/>
          <w:szCs w:val="18"/>
        </w:rPr>
        <w:t xml:space="preserve">This paper addresses that gap by proposing a regression-based machine learning system that predicts an individual's annual medical insurance cost from a small set of easily available demographic and lifestyle attributes, giving users an instant, transparent estimate before they commit to a policy. Rather than optimizing purely for predictive accuracy, the system is deliberately designed around two additional goals: minimal input burden and explainability of the predicted number, both of which are largely absent from prior published work in this space.</w:t>
      </w:r>
    </w:p>
    <w:p>
      <w:pPr>
        <w:pStyle w:val="Heading1"/>
        <w:spacing w:after="120" w:before="200"/>
        <w:jc w:val="center"/>
      </w:pPr>
      <w:r>
        <w:rPr>
          <w:rFonts w:ascii="Times New Roman" w:cs="Times New Roman" w:eastAsia="Times New Roman" w:hAnsi="Times New Roman"/>
          <w:b/>
          <w:bCs/>
          <w:sz w:val="20"/>
          <w:szCs w:val="20"/>
        </w:rPr>
        <w:t xml:space="preserve">II. LITERATURE SURVEY</w:t>
      </w:r>
    </w:p>
    <w:p>
      <w:pPr>
        <w:spacing w:after="120" w:line="276"/>
        <w:ind w:firstLine="0"/>
        <w:jc w:val="both"/>
      </w:pPr>
      <w:r>
        <w:rPr>
          <w:rFonts w:ascii="Times New Roman" w:cs="Times New Roman" w:eastAsia="Times New Roman" w:hAnsi="Times New Roman"/>
          <w:sz w:val="18"/>
          <w:szCs w:val="18"/>
        </w:rPr>
        <w:t xml:space="preserve">Prior work on medical insurance cost prediction has largely focused on improving predictive accuracy through ensemble regression methods, with comparatively little attention paid to input simplicity or to communicating results to non-technical end users. Table I summarizes three representative studies.</w:t>
      </w:r>
    </w:p>
    <w:p>
      <w:pPr>
        <w:sectPr>
          <w:type w:val="continuous"/>
          <w:pgSz w:w="11906" w:h="16838" w:orient="portrait"/>
          <w:pgMar w:top="1440" w:right="1080" w:bottom="1080" w:left="1080" w:header="708" w:footer="708" w:gutter="0"/>
          <w:pgNumType/>
          <w:cols w:space="360" w:num="2"/>
          <w:docGrid w:linePitch="360"/>
        </w:sectPr>
      </w:pPr>
    </w:p>
    <w:p>
      <w:pPr>
        <w:spacing w:after="100" w:before="100"/>
        <w:jc w:val="center"/>
      </w:pPr>
      <w:r>
        <w:rPr>
          <w:rFonts w:ascii="Times New Roman" w:cs="Times New Roman" w:eastAsia="Times New Roman" w:hAnsi="Times New Roman"/>
          <w:b w:val="false"/>
          <w:bCs w:val="false"/>
          <w:smallCaps/>
          <w:sz w:val="15"/>
          <w:szCs w:val="15"/>
        </w:rPr>
        <w:t xml:space="preserve">TABLE I.	Summary of Literature Survey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200"/>
        <w:gridCol w:w="2200"/>
        <w:gridCol w:w="2100"/>
      </w:tblGrid>
      <w:tr>
        <w:trPr>
          <w:tblHeader/>
        </w:trPr>
        <w:tc>
          <w:tcPr>
            <w:tcW w:type="dxa" w:w="1300"/>
            <w:shd w:fill="D9D9D9" w:val="clear"/>
            <w:tcMar>
              <w:top w:type="dxa" w:w="60"/>
              <w:left w:type="dxa" w:w="80"/>
              <w:bottom w:type="dxa" w:w="60"/>
              <w:right w:type="dxa" w:w="80"/>
            </w:tcMar>
          </w:tcPr>
          <w:p>
            <w:r>
              <w:rPr>
                <w:rFonts w:ascii="Times New Roman" w:cs="Times New Roman" w:eastAsia="Times New Roman" w:hAnsi="Times New Roman"/>
                <w:b/>
                <w:bCs/>
                <w:sz w:val="15"/>
                <w:szCs w:val="15"/>
              </w:rPr>
              <w:t xml:space="preserve">Author(s)</w:t>
            </w:r>
          </w:p>
        </w:tc>
        <w:tc>
          <w:tcPr>
            <w:tcW w:type="dxa" w:w="2000"/>
            <w:shd w:fill="D9D9D9" w:val="clear"/>
            <w:tcMar>
              <w:top w:type="dxa" w:w="60"/>
              <w:left w:type="dxa" w:w="80"/>
              <w:bottom w:type="dxa" w:w="60"/>
              <w:right w:type="dxa" w:w="80"/>
            </w:tcMar>
          </w:tcPr>
          <w:p>
            <w:r>
              <w:rPr>
                <w:rFonts w:ascii="Times New Roman" w:cs="Times New Roman" w:eastAsia="Times New Roman" w:hAnsi="Times New Roman"/>
                <w:b/>
                <w:bCs/>
                <w:sz w:val="15"/>
                <w:szCs w:val="15"/>
              </w:rPr>
              <w:t xml:space="preserve">Title / Venue</w:t>
            </w:r>
          </w:p>
        </w:tc>
        <w:tc>
          <w:tcPr>
            <w:tcW w:type="dxa" w:w="2200"/>
            <w:shd w:fill="D9D9D9" w:val="clear"/>
            <w:tcMar>
              <w:top w:type="dxa" w:w="60"/>
              <w:left w:type="dxa" w:w="80"/>
              <w:bottom w:type="dxa" w:w="60"/>
              <w:right w:type="dxa" w:w="80"/>
            </w:tcMar>
          </w:tcPr>
          <w:p>
            <w:r>
              <w:rPr>
                <w:rFonts w:ascii="Times New Roman" w:cs="Times New Roman" w:eastAsia="Times New Roman" w:hAnsi="Times New Roman"/>
                <w:b/>
                <w:bCs/>
                <w:sz w:val="15"/>
                <w:szCs w:val="15"/>
              </w:rPr>
              <w:t xml:space="preserve">Methodology</w:t>
            </w:r>
          </w:p>
        </w:tc>
        <w:tc>
          <w:tcPr>
            <w:tcW w:type="dxa" w:w="2200"/>
            <w:shd w:fill="D9D9D9" w:val="clear"/>
            <w:tcMar>
              <w:top w:type="dxa" w:w="60"/>
              <w:left w:type="dxa" w:w="80"/>
              <w:bottom w:type="dxa" w:w="60"/>
              <w:right w:type="dxa" w:w="80"/>
            </w:tcMar>
          </w:tcPr>
          <w:p>
            <w:r>
              <w:rPr>
                <w:rFonts w:ascii="Times New Roman" w:cs="Times New Roman" w:eastAsia="Times New Roman" w:hAnsi="Times New Roman"/>
                <w:b/>
                <w:bCs/>
                <w:sz w:val="15"/>
                <w:szCs w:val="15"/>
              </w:rPr>
              <w:t xml:space="preserve">Key Inference</w:t>
            </w:r>
          </w:p>
        </w:tc>
        <w:tc>
          <w:tcPr>
            <w:tcW w:type="dxa" w:w="2100"/>
            <w:shd w:fill="D9D9D9" w:val="clear"/>
            <w:tcMar>
              <w:top w:type="dxa" w:w="60"/>
              <w:left w:type="dxa" w:w="80"/>
              <w:bottom w:type="dxa" w:w="60"/>
              <w:right w:type="dxa" w:w="80"/>
            </w:tcMar>
          </w:tcPr>
          <w:p>
            <w:r>
              <w:rPr>
                <w:rFonts w:ascii="Times New Roman" w:cs="Times New Roman" w:eastAsia="Times New Roman" w:hAnsi="Times New Roman"/>
                <w:b/>
                <w:bCs/>
                <w:sz w:val="15"/>
                <w:szCs w:val="15"/>
              </w:rPr>
              <w:t xml:space="preserve">Limitation / Future Work</w:t>
            </w:r>
          </w:p>
        </w:tc>
      </w:tr>
      <w:tr>
        <w:tc>
          <w:tcPr>
            <w:tcW w:type="dxa" w:w="13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Orji &amp; Ukwandu [1]</w:t>
            </w:r>
          </w:p>
        </w:tc>
        <w:tc>
          <w:tcPr>
            <w:tcW w:type="dxa" w:w="20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Machine Learning for an Explainable Cost Prediction of Medical Insurance, Machine Learning with Applications, 2024</w:t>
            </w:r>
          </w:p>
        </w:tc>
        <w:tc>
          <w:tcPr>
            <w:tcW w:type="dxa" w:w="22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Ensemble regressors (XGBoost, GBM, Random Forest) combined with SHAP and ICE plots for explainability</w:t>
            </w:r>
          </w:p>
        </w:tc>
        <w:tc>
          <w:tcPr>
            <w:tcW w:type="dxa" w:w="22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Ensemble tree models predict cost accurately; SHAP/ICE reveal that smoking and BMI drive predictions</w:t>
            </w:r>
          </w:p>
        </w:tc>
        <w:tc>
          <w:tcPr>
            <w:tcW w:type="dxa" w:w="21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Explainability tools add computational overhead; evaluated on a small (~986-record) dataset</w:t>
            </w:r>
          </w:p>
        </w:tc>
      </w:tr>
      <w:tr>
        <w:tc>
          <w:tcPr>
            <w:tcW w:type="dxa" w:w="13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Shen [2]</w:t>
            </w:r>
          </w:p>
        </w:tc>
        <w:tc>
          <w:tcPr>
            <w:tcW w:type="dxa" w:w="20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Refining Medical Insurance Cost Predictions with Advanced Machine Learning Models, 2025</w:t>
            </w:r>
          </w:p>
        </w:tc>
        <w:tc>
          <w:tcPr>
            <w:tcW w:type="dxa" w:w="22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Comparative study of ensemble methods (XGBoost, Random Forest) versus traditional regression</w:t>
            </w:r>
          </w:p>
        </w:tc>
        <w:tc>
          <w:tcPr>
            <w:tcW w:type="dxa" w:w="22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Ensemble methods consistently outperform linear regression and expose non-linear cost drivers</w:t>
            </w:r>
          </w:p>
        </w:tc>
        <w:tc>
          <w:tcPr>
            <w:tcW w:type="dxa" w:w="21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Focuses on accuracy; does not address how predictions are communicated to non-technical users</w:t>
            </w:r>
          </w:p>
        </w:tc>
      </w:tr>
      <w:tr>
        <w:tc>
          <w:tcPr>
            <w:tcW w:type="dxa" w:w="13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Wang [3]</w:t>
            </w:r>
          </w:p>
        </w:tc>
        <w:tc>
          <w:tcPr>
            <w:tcW w:type="dxa" w:w="20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Machine Learning Approaches for Medical Insurance Cost Prediction, ICIAAI, 2026</w:t>
            </w:r>
          </w:p>
        </w:tc>
        <w:tc>
          <w:tcPr>
            <w:tcW w:type="dxa" w:w="22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Linear Regression vs. Random Forest on the Kaggle Medical Cost Personal Dataset</w:t>
            </w:r>
          </w:p>
        </w:tc>
        <w:tc>
          <w:tcPr>
            <w:tcW w:type="dxa" w:w="22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Random Forest outperforms Linear Regression (R² = 0.865), confirming non-linear relationships</w:t>
            </w:r>
          </w:p>
        </w:tc>
        <w:tc>
          <w:tcPr>
            <w:tcW w:type="dxa" w:w="21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Limited to two algorithms and one dataset; no lightweight user-facing tool or explainability layer</w:t>
            </w:r>
          </w:p>
        </w:tc>
      </w:tr>
    </w:tbl>
    <w:p>
      <w:pPr>
        <w:spacing w:before="120"/>
      </w:pPr>
    </w:p>
    <w:p>
      <w:pPr>
        <w:sectPr>
          <w:type w:val="continuous"/>
          <w:pgSz w:w="11906" w:h="16838" w:orient="portrait"/>
          <w:pgMar w:top="1440" w:right="1080" w:bottom="1080" w:left="1080" w:header="708" w:footer="708" w:gutter="0"/>
          <w:pgNumType/>
          <w:docGrid w:linePitch="360"/>
        </w:sectPr>
      </w:pPr>
    </w:p>
    <w:p>
      <w:pPr>
        <w:spacing w:after="120" w:line="276"/>
        <w:ind w:firstLine="220"/>
        <w:jc w:val="both"/>
      </w:pPr>
      <w:r>
        <w:rPr>
          <w:rFonts w:ascii="Times New Roman" w:cs="Times New Roman" w:eastAsia="Times New Roman" w:hAnsi="Times New Roman"/>
          <w:sz w:val="18"/>
          <w:szCs w:val="18"/>
        </w:rPr>
        <w:t xml:space="preserve">Orji and Ukwandu [1] combine ensemble regressors — XGBoost, Gradient Boosting, and Random Forest — with SHAP and ICE plots to explain which features drive predicted cost, showing that smoking status and BMI are consistently the strongest contributors. Shen [2] compares ensemble methods against traditional linear regression on real-world cost data and confirms that ensemble methods consistently capture non-linear cost drivers more effectively, though the work does not consider how such predictions might be presented to a non-technical user. Wang [3] compares Linear Regression against Random Forest on the widely used Kaggle Medical Cost Personal Dataset, reporting that Random Forest achieves an R² of 0.865 and confirming that the underlying relationships between attributes and cost are non-linear.</w:t>
      </w:r>
    </w:p>
    <w:p>
      <w:pPr>
        <w:pStyle w:val="Heading1"/>
        <w:spacing w:after="120" w:before="200"/>
        <w:jc w:val="center"/>
      </w:pPr>
      <w:r>
        <w:rPr>
          <w:rFonts w:ascii="Times New Roman" w:cs="Times New Roman" w:eastAsia="Times New Roman" w:hAnsi="Times New Roman"/>
          <w:b/>
          <w:bCs/>
          <w:sz w:val="20"/>
          <w:szCs w:val="20"/>
        </w:rPr>
        <w:t xml:space="preserve">III. PROBLEM STATEMENT AND GAP IDENTIFICATION</w:t>
      </w:r>
    </w:p>
    <w:p>
      <w:pPr>
        <w:spacing w:after="80" w:before="120"/>
      </w:pPr>
      <w:r>
        <w:rPr>
          <w:rFonts w:ascii="Times New Roman" w:cs="Times New Roman" w:eastAsia="Times New Roman" w:hAnsi="Times New Roman"/>
          <w:b/>
          <w:bCs/>
          <w:i/>
          <w:iCs/>
          <w:sz w:val="18"/>
          <w:szCs w:val="18"/>
        </w:rPr>
        <w:t xml:space="preserve">A. Problem Statement</w:t>
      </w:r>
    </w:p>
    <w:p>
      <w:pPr>
        <w:pStyle w:val="ListParagraph"/>
        <w:numPr>
          <w:ilvl w:val="0"/>
          <w:numId w:val="1"/>
        </w:numPr>
        <w:spacing w:after="80"/>
        <w:jc w:val="both"/>
      </w:pPr>
      <w:r>
        <w:rPr>
          <w:rFonts w:ascii="Times New Roman" w:cs="Times New Roman" w:eastAsia="Times New Roman" w:hAnsi="Times New Roman"/>
          <w:sz w:val="18"/>
          <w:szCs w:val="18"/>
        </w:rPr>
        <w:t xml:space="preserve">Opaque Pricing — insurers never disclose the exact formula used to compute premiums from personal factors.</w:t>
      </w:r>
    </w:p>
    <w:p>
      <w:pPr>
        <w:pStyle w:val="ListParagraph"/>
        <w:numPr>
          <w:ilvl w:val="0"/>
          <w:numId w:val="1"/>
        </w:numPr>
        <w:spacing w:after="80"/>
        <w:jc w:val="both"/>
      </w:pPr>
      <w:r>
        <w:rPr>
          <w:rFonts w:ascii="Times New Roman" w:cs="Times New Roman" w:eastAsia="Times New Roman" w:hAnsi="Times New Roman"/>
          <w:sz w:val="18"/>
          <w:szCs w:val="18"/>
        </w:rPr>
        <w:t xml:space="preserve">No Pre-Enrollment Estimate — comparison tools typically require full personal and policy detail before returning any number.</w:t>
      </w:r>
    </w:p>
    <w:p>
      <w:pPr>
        <w:pStyle w:val="ListParagraph"/>
        <w:numPr>
          <w:ilvl w:val="0"/>
          <w:numId w:val="1"/>
        </w:numPr>
        <w:spacing w:after="80"/>
        <w:jc w:val="both"/>
      </w:pPr>
      <w:r>
        <w:rPr>
          <w:rFonts w:ascii="Times New Roman" w:cs="Times New Roman" w:eastAsia="Times New Roman" w:hAnsi="Times New Roman"/>
          <w:sz w:val="18"/>
          <w:szCs w:val="18"/>
        </w:rPr>
        <w:t xml:space="preserve">Weak Financial Planning — without an early estimate, individuals cannot budget for healthcare or compare plans before applying.</w:t>
      </w:r>
    </w:p>
    <w:p>
      <w:pPr>
        <w:spacing w:after="120" w:line="276"/>
        <w:ind w:firstLine="0"/>
        <w:jc w:val="both"/>
      </w:pPr>
      <w:r>
        <w:rPr>
          <w:rFonts w:ascii="Times New Roman" w:cs="Times New Roman" w:eastAsia="Times New Roman" w:hAnsi="Times New Roman"/>
          <w:sz w:val="18"/>
          <w:szCs w:val="18"/>
        </w:rPr>
        <w:t xml:space="preserve">The core problem addressed in this work is therefore to design and build a regression-based machine learning system that predicts an individual's annual medical insurance cost from a small set of easily available demographic and lifestyle attributes, giving users an instant, transparent estimate before they commit to a policy.</w:t>
      </w:r>
    </w:p>
    <w:p>
      <w:pPr>
        <w:spacing w:after="80" w:before="120"/>
      </w:pPr>
      <w:r>
        <w:rPr>
          <w:rFonts w:ascii="Times New Roman" w:cs="Times New Roman" w:eastAsia="Times New Roman" w:hAnsi="Times New Roman"/>
          <w:b/>
          <w:bCs/>
          <w:i/>
          <w:iCs/>
          <w:sz w:val="18"/>
          <w:szCs w:val="18"/>
        </w:rPr>
        <w:t xml:space="preserve">B. Identified Gap</w:t>
      </w:r>
    </w:p>
    <w:p>
      <w:pPr>
        <w:spacing w:after="120" w:line="276"/>
        <w:ind w:firstLine="0"/>
        <w:jc w:val="both"/>
      </w:pPr>
      <w:r>
        <w:rPr>
          <w:rFonts w:ascii="Times New Roman" w:cs="Times New Roman" w:eastAsia="Times New Roman" w:hAnsi="Times New Roman"/>
          <w:sz w:val="18"/>
          <w:szCs w:val="18"/>
        </w:rPr>
        <w:t xml:space="preserve">Reviewing prior work against this problem statement reveals three consistent shortcomings. First, commercial insurer tools return a black-box quote with no explanation of which factors drove the number, leaving users unable to act on the figure they are given. Second, many existing systems require full underwriting-level data — medical history, exact policy parameters — before producing any estimate, which is impractical for early-stage planning. Third, published machine learning approaches largely optimize prediction accuracy (R², RMSE) but rarely communicate which features matter to a non-technical end user. Taken together, there is no lightweight, interpretable estimator that works from a handful of easily known attributes while clearly communicating both the predicted cost and its key drivers — this is the gap the present work targets.</w:t>
      </w:r>
    </w:p>
    <w:p>
      <w:pPr>
        <w:pStyle w:val="Heading1"/>
        <w:spacing w:after="120" w:before="200"/>
        <w:jc w:val="center"/>
      </w:pPr>
      <w:r>
        <w:rPr>
          <w:rFonts w:ascii="Times New Roman" w:cs="Times New Roman" w:eastAsia="Times New Roman" w:hAnsi="Times New Roman"/>
          <w:b/>
          <w:bCs/>
          <w:sz w:val="20"/>
          <w:szCs w:val="20"/>
        </w:rPr>
        <w:t xml:space="preserve">IV. OBJECTIVES</w:t>
      </w:r>
    </w:p>
    <w:p>
      <w:pPr>
        <w:pStyle w:val="ListParagraph"/>
        <w:numPr>
          <w:ilvl w:val="0"/>
          <w:numId w:val="1"/>
        </w:numPr>
        <w:spacing w:after="80"/>
        <w:jc w:val="both"/>
      </w:pPr>
      <w:r>
        <w:rPr>
          <w:rFonts w:ascii="Times New Roman" w:cs="Times New Roman" w:eastAsia="Times New Roman" w:hAnsi="Times New Roman"/>
          <w:sz w:val="18"/>
          <w:szCs w:val="18"/>
        </w:rPr>
        <w:t xml:space="preserve">Data Preparation — clean and preprocess a structured medical insurance dataset (age, sex, BMI, children, smoker, region, charges), handling categorical encoding and outliers.</w:t>
      </w:r>
    </w:p>
    <w:p>
      <w:pPr>
        <w:pStyle w:val="ListParagraph"/>
        <w:numPr>
          <w:ilvl w:val="0"/>
          <w:numId w:val="1"/>
        </w:numPr>
        <w:spacing w:after="80"/>
        <w:jc w:val="both"/>
      </w:pPr>
      <w:r>
        <w:rPr>
          <w:rFonts w:ascii="Times New Roman" w:cs="Times New Roman" w:eastAsia="Times New Roman" w:hAnsi="Times New Roman"/>
          <w:sz w:val="18"/>
          <w:szCs w:val="18"/>
        </w:rPr>
        <w:t xml:space="preserve">Feature Analysis — identify which attributes most strongly influence cost, such as smoking status and BMI, through exploratory data analysis and feature-importance studies.</w:t>
      </w:r>
    </w:p>
    <w:p>
      <w:pPr>
        <w:pStyle w:val="ListParagraph"/>
        <w:numPr>
          <w:ilvl w:val="0"/>
          <w:numId w:val="1"/>
        </w:numPr>
        <w:spacing w:after="80"/>
        <w:jc w:val="both"/>
      </w:pPr>
      <w:r>
        <w:rPr>
          <w:rFonts w:ascii="Times New Roman" w:cs="Times New Roman" w:eastAsia="Times New Roman" w:hAnsi="Times New Roman"/>
          <w:sz w:val="18"/>
          <w:szCs w:val="18"/>
        </w:rPr>
        <w:t xml:space="preserve">Model Development — train and compare multiple regression algorithms (Linear Regression, Random Forest, Gradient Boosting/XGBoost) to find the best-performing predictor.</w:t>
      </w:r>
    </w:p>
    <w:p>
      <w:pPr>
        <w:pStyle w:val="ListParagraph"/>
        <w:numPr>
          <w:ilvl w:val="0"/>
          <w:numId w:val="1"/>
        </w:numPr>
        <w:spacing w:after="80"/>
        <w:jc w:val="both"/>
      </w:pPr>
      <w:r>
        <w:rPr>
          <w:rFonts w:ascii="Times New Roman" w:cs="Times New Roman" w:eastAsia="Times New Roman" w:hAnsi="Times New Roman"/>
          <w:sz w:val="18"/>
          <w:szCs w:val="18"/>
        </w:rPr>
        <w:t xml:space="preserve">Model Evaluation — benchmark all candidate models using RMSE, MAE, and R² to select the most accurate and generalizable model.</w:t>
      </w:r>
    </w:p>
    <w:p>
      <w:pPr>
        <w:pStyle w:val="ListParagraph"/>
        <w:numPr>
          <w:ilvl w:val="0"/>
          <w:numId w:val="1"/>
        </w:numPr>
        <w:spacing w:after="80"/>
        <w:jc w:val="both"/>
      </w:pPr>
      <w:r>
        <w:rPr>
          <w:rFonts w:ascii="Times New Roman" w:cs="Times New Roman" w:eastAsia="Times New Roman" w:hAnsi="Times New Roman"/>
          <w:sz w:val="18"/>
          <w:szCs w:val="18"/>
        </w:rPr>
        <w:t xml:space="preserve">Usable Output — package the trained model behind a simple interface so a user can enter a few basic details and receive an instant cost estimate, with no domain expertise required.</w:t>
      </w:r>
    </w:p>
    <w:p>
      <w:pPr>
        <w:pStyle w:val="Heading1"/>
        <w:spacing w:after="120" w:before="200"/>
        <w:jc w:val="center"/>
      </w:pPr>
      <w:r>
        <w:rPr>
          <w:rFonts w:ascii="Times New Roman" w:cs="Times New Roman" w:eastAsia="Times New Roman" w:hAnsi="Times New Roman"/>
          <w:b/>
          <w:bCs/>
          <w:sz w:val="20"/>
          <w:szCs w:val="20"/>
        </w:rPr>
        <w:t xml:space="preserve">V. PROPOSED METHODOLOGY</w:t>
      </w:r>
    </w:p>
    <w:p>
      <w:pPr>
        <w:spacing w:after="120" w:line="276"/>
        <w:ind w:firstLine="0"/>
        <w:jc w:val="both"/>
      </w:pPr>
      <w:r>
        <w:rPr>
          <w:rFonts w:ascii="Times New Roman" w:cs="Times New Roman" w:eastAsia="Times New Roman" w:hAnsi="Times New Roman"/>
          <w:sz w:val="18"/>
          <w:szCs w:val="18"/>
        </w:rPr>
        <w:t xml:space="preserve">The proposed system follows a five-stage pipeline: data collection, preprocessing, exploratory analysis, model training and comparison, and evaluation-driven model selection, after which the selected model is packaged behind a simple estimation interface.</w:t>
      </w:r>
    </w:p>
    <w:p>
      <w:pPr>
        <w:spacing w:after="80" w:before="120"/>
      </w:pPr>
      <w:r>
        <w:rPr>
          <w:rFonts w:ascii="Times New Roman" w:cs="Times New Roman" w:eastAsia="Times New Roman" w:hAnsi="Times New Roman"/>
          <w:b/>
          <w:bCs/>
          <w:i/>
          <w:iCs/>
          <w:sz w:val="18"/>
          <w:szCs w:val="18"/>
        </w:rPr>
        <w:t xml:space="preserve">A. Dataset</w:t>
      </w:r>
    </w:p>
    <w:p>
      <w:pPr>
        <w:spacing w:after="120" w:line="276"/>
        <w:ind w:firstLine="220"/>
        <w:jc w:val="both"/>
      </w:pPr>
      <w:r>
        <w:rPr>
          <w:rFonts w:ascii="Times New Roman" w:cs="Times New Roman" w:eastAsia="Times New Roman" w:hAnsi="Times New Roman"/>
          <w:sz w:val="18"/>
          <w:szCs w:val="18"/>
        </w:rPr>
        <w:t xml:space="preserve">The system uses a publicly available medical insurance cost dataset comprising 1,300+ records across seven attributes: age, sex, BMI, number of children/dependents, smoking status, region, and the historical insurance charge. This dataset has been used in prior published research (see Table I), which reduces data-collection risk and supports comparability of results.</w:t>
      </w:r>
    </w:p>
    <w:p>
      <w:pPr>
        <w:spacing w:after="80" w:before="120"/>
      </w:pPr>
      <w:r>
        <w:rPr>
          <w:rFonts w:ascii="Times New Roman" w:cs="Times New Roman" w:eastAsia="Times New Roman" w:hAnsi="Times New Roman"/>
          <w:b/>
          <w:bCs/>
          <w:i/>
          <w:iCs/>
          <w:sz w:val="18"/>
          <w:szCs w:val="18"/>
        </w:rPr>
        <w:t xml:space="preserve">B. Preprocessing</w:t>
      </w:r>
    </w:p>
    <w:p>
      <w:pPr>
        <w:spacing w:after="120" w:line="276"/>
        <w:ind w:firstLine="220"/>
        <w:jc w:val="both"/>
      </w:pPr>
      <w:r>
        <w:rPr>
          <w:rFonts w:ascii="Times New Roman" w:cs="Times New Roman" w:eastAsia="Times New Roman" w:hAnsi="Times New Roman"/>
          <w:sz w:val="18"/>
          <w:szCs w:val="18"/>
        </w:rPr>
        <w:t xml:space="preserve">Categorical attributes (sex, smoker, region) are numerically encoded, and outliers and missing values are identified and handled prior to model training. The cleaned dataset is then split into a training partition, used to fit each candidate model, and a held-out test partition, used only for final evaluation.</w:t>
      </w:r>
    </w:p>
    <w:p>
      <w:pPr>
        <w:spacing w:after="80" w:before="120"/>
      </w:pPr>
      <w:r>
        <w:rPr>
          <w:rFonts w:ascii="Times New Roman" w:cs="Times New Roman" w:eastAsia="Times New Roman" w:hAnsi="Times New Roman"/>
          <w:b/>
          <w:bCs/>
          <w:i/>
          <w:iCs/>
          <w:sz w:val="18"/>
          <w:szCs w:val="18"/>
        </w:rPr>
        <w:t xml:space="preserve">C. Exploratory Data Analysis</w:t>
      </w:r>
    </w:p>
    <w:p>
      <w:pPr>
        <w:spacing w:after="120" w:line="276"/>
        <w:ind w:firstLine="220"/>
        <w:jc w:val="both"/>
      </w:pPr>
      <w:r>
        <w:rPr>
          <w:rFonts w:ascii="Times New Roman" w:cs="Times New Roman" w:eastAsia="Times New Roman" w:hAnsi="Times New Roman"/>
          <w:sz w:val="18"/>
          <w:szCs w:val="18"/>
        </w:rPr>
        <w:t xml:space="preserve">Prior to model training, exploratory analysis and feature-importance studies are used to identify which attributes most strongly influence cost. Consistent with prior literature [1]–[3], smoking status and BMI are expected to be the dominant cost drivers, with age and number of dependents contributing secondary effects.</w:t>
      </w:r>
    </w:p>
    <w:p>
      <w:pPr>
        <w:spacing w:after="80" w:before="120"/>
      </w:pPr>
      <w:r>
        <w:rPr>
          <w:rFonts w:ascii="Times New Roman" w:cs="Times New Roman" w:eastAsia="Times New Roman" w:hAnsi="Times New Roman"/>
          <w:b/>
          <w:bCs/>
          <w:i/>
          <w:iCs/>
          <w:sz w:val="18"/>
          <w:szCs w:val="18"/>
        </w:rPr>
        <w:t xml:space="preserve">D. Candidate Models</w:t>
      </w:r>
    </w:p>
    <w:p>
      <w:pPr>
        <w:spacing w:after="120" w:line="276"/>
        <w:ind w:firstLine="220"/>
        <w:jc w:val="both"/>
      </w:pPr>
      <w:r>
        <w:rPr>
          <w:rFonts w:ascii="Times New Roman" w:cs="Times New Roman" w:eastAsia="Times New Roman" w:hAnsi="Times New Roman"/>
          <w:sz w:val="18"/>
          <w:szCs w:val="18"/>
        </w:rPr>
        <w:t xml:space="preserve">Three regression algorithms are trained and compared. Linear Regression serves as an interpretable baseline that models cost as a linear combination of input attributes. Random Forest, an ensemble of decision trees whose predictions are averaged, is included to capture non-linear interactions among attributes (for example, the compounding effect of smoking and high BMI together). Gradient Boosting (XGBoost) is included as a stronger ensemble method that builds trees sequentially, with each new tree correcting the residual errors of the previous ones, and is expected to achieve the highest raw accuracy of the three, consistent with the findings of [1]–[3].</w:t>
      </w:r>
    </w:p>
    <w:p>
      <w:pPr>
        <w:spacing w:after="80" w:before="120"/>
      </w:pPr>
      <w:r>
        <w:rPr>
          <w:rFonts w:ascii="Times New Roman" w:cs="Times New Roman" w:eastAsia="Times New Roman" w:hAnsi="Times New Roman"/>
          <w:b/>
          <w:bCs/>
          <w:i/>
          <w:iCs/>
          <w:sz w:val="18"/>
          <w:szCs w:val="18"/>
        </w:rPr>
        <w:t xml:space="preserve">E. Evaluation Metrics</w:t>
      </w:r>
    </w:p>
    <w:p>
      <w:pPr>
        <w:spacing w:after="120" w:line="276"/>
        <w:ind w:firstLine="220"/>
        <w:jc w:val="both"/>
      </w:pPr>
      <w:r>
        <w:rPr>
          <w:rFonts w:ascii="Times New Roman" w:cs="Times New Roman" w:eastAsia="Times New Roman" w:hAnsi="Times New Roman"/>
          <w:sz w:val="18"/>
          <w:szCs w:val="18"/>
        </w:rPr>
        <w:t xml:space="preserve">All candidate models are benchmarked on the held-out test partition using three metrics: Root Mean Squared Error (RMSE) and Mean Absolute Error (MAE), both of which express the average prediction error in the original cost units, and the coefficient of determination (R²), which expresses the proportion of variance in cost explained by the model. The model achieving the best balance of these metrics on unseen data — rather than on the training data — is selected as the final predictor, to guard against overfitting.</w:t>
      </w:r>
    </w:p>
    <w:p>
      <w:pPr>
        <w:spacing w:after="80" w:before="120"/>
      </w:pPr>
      <w:r>
        <w:rPr>
          <w:rFonts w:ascii="Times New Roman" w:cs="Times New Roman" w:eastAsia="Times New Roman" w:hAnsi="Times New Roman"/>
          <w:b/>
          <w:bCs/>
          <w:i/>
          <w:iCs/>
          <w:sz w:val="18"/>
          <w:szCs w:val="18"/>
        </w:rPr>
        <w:t xml:space="preserve">F. Usable, Explainable Output</w:t>
      </w:r>
    </w:p>
    <w:p>
      <w:pPr>
        <w:spacing w:after="120" w:line="276"/>
        <w:ind w:firstLine="220"/>
        <w:jc w:val="both"/>
      </w:pPr>
      <w:r>
        <w:rPr>
          <w:rFonts w:ascii="Times New Roman" w:cs="Times New Roman" w:eastAsia="Times New Roman" w:hAnsi="Times New Roman"/>
          <w:sz w:val="18"/>
          <w:szCs w:val="18"/>
        </w:rPr>
        <w:t xml:space="preserve">The selected model is packaged behind a simple interface that accepts the six input attributes and returns two outputs: the predicted annual cost, and a short breakdown of which input factors contributed most to that prediction (for example, an approximate dollar contribution attributable to smoking status). This directly targets the explainability gap identified in Section III, distinguishing the system from prior black-box tools.</w:t>
      </w:r>
    </w:p>
    <w:p>
      <w:pPr>
        <w:pStyle w:val="Heading1"/>
        <w:spacing w:after="120" w:before="200"/>
        <w:jc w:val="center"/>
      </w:pPr>
      <w:r>
        <w:rPr>
          <w:rFonts w:ascii="Times New Roman" w:cs="Times New Roman" w:eastAsia="Times New Roman" w:hAnsi="Times New Roman"/>
          <w:b/>
          <w:bCs/>
          <w:sz w:val="20"/>
          <w:szCs w:val="20"/>
        </w:rPr>
        <w:t xml:space="preserve">VI. INNOVATION, CREATIVITY, AND NOVELTY</w:t>
      </w:r>
    </w:p>
    <w:p>
      <w:pPr>
        <w:pStyle w:val="ListParagraph"/>
        <w:numPr>
          <w:ilvl w:val="0"/>
          <w:numId w:val="1"/>
        </w:numPr>
        <w:spacing w:after="80"/>
        <w:jc w:val="both"/>
      </w:pPr>
      <w:r>
        <w:rPr>
          <w:rFonts w:ascii="Times New Roman" w:cs="Times New Roman" w:eastAsia="Times New Roman" w:hAnsi="Times New Roman"/>
          <w:sz w:val="18"/>
          <w:szCs w:val="18"/>
        </w:rPr>
        <w:t xml:space="preserve">Minimal-Input Design — predicts cost using only five to six easily available attributes instead of full underwriting data.</w:t>
      </w:r>
    </w:p>
    <w:p>
      <w:pPr>
        <w:pStyle w:val="ListParagraph"/>
        <w:numPr>
          <w:ilvl w:val="0"/>
          <w:numId w:val="1"/>
        </w:numPr>
        <w:spacing w:after="80"/>
        <w:jc w:val="both"/>
      </w:pPr>
      <w:r>
        <w:rPr>
          <w:rFonts w:ascii="Times New Roman" w:cs="Times New Roman" w:eastAsia="Times New Roman" w:hAnsi="Times New Roman"/>
          <w:sz w:val="18"/>
          <w:szCs w:val="18"/>
        </w:rPr>
        <w:t xml:space="preserve">Explainability by Design — surfaces the key cost-driving factors alongside the predicted number, rather than returning a single opaque figure.</w:t>
      </w:r>
    </w:p>
    <w:p>
      <w:pPr>
        <w:pStyle w:val="ListParagraph"/>
        <w:numPr>
          <w:ilvl w:val="0"/>
          <w:numId w:val="1"/>
        </w:numPr>
        <w:spacing w:after="80"/>
        <w:jc w:val="both"/>
      </w:pPr>
      <w:r>
        <w:rPr>
          <w:rFonts w:ascii="Times New Roman" w:cs="Times New Roman" w:eastAsia="Times New Roman" w:hAnsi="Times New Roman"/>
          <w:sz w:val="18"/>
          <w:szCs w:val="18"/>
        </w:rPr>
        <w:t xml:space="preserve">Decision-Support Framing — positioned explicitly as a planning estimate with clearly stated limits, not a substitute for an actual insurer quote, directly addressing the trust gap in existing tools.</w:t>
      </w:r>
    </w:p>
    <w:p>
      <w:pPr>
        <w:pStyle w:val="ListParagraph"/>
        <w:numPr>
          <w:ilvl w:val="0"/>
          <w:numId w:val="1"/>
        </w:numPr>
        <w:spacing w:after="80"/>
        <w:jc w:val="both"/>
      </w:pPr>
      <w:r>
        <w:rPr>
          <w:rFonts w:ascii="Times New Roman" w:cs="Times New Roman" w:eastAsia="Times New Roman" w:hAnsi="Times New Roman"/>
          <w:sz w:val="18"/>
          <w:szCs w:val="18"/>
        </w:rPr>
        <w:t xml:space="preserve">Accessible Pipeline — a simple, explainable Collect → Analyze → Train → Estimate pipeline that is easy to demonstrate, extend, and retrain as new data or features become available.</w:t>
      </w:r>
    </w:p>
    <w:p>
      <w:pPr>
        <w:pStyle w:val="Heading1"/>
        <w:spacing w:after="120" w:before="200"/>
        <w:jc w:val="center"/>
      </w:pPr>
      <w:r>
        <w:rPr>
          <w:rFonts w:ascii="Times New Roman" w:cs="Times New Roman" w:eastAsia="Times New Roman" w:hAnsi="Times New Roman"/>
          <w:b/>
          <w:bCs/>
          <w:sz w:val="20"/>
          <w:szCs w:val="20"/>
        </w:rPr>
        <w:t xml:space="preserve">VII. FEASIBILITY AND PROJECT PLAN</w:t>
      </w:r>
    </w:p>
    <w:p>
      <w:pPr>
        <w:spacing w:after="80" w:before="120"/>
      </w:pPr>
      <w:r>
        <w:rPr>
          <w:rFonts w:ascii="Times New Roman" w:cs="Times New Roman" w:eastAsia="Times New Roman" w:hAnsi="Times New Roman"/>
          <w:b/>
          <w:bCs/>
          <w:i/>
          <w:iCs/>
          <w:sz w:val="18"/>
          <w:szCs w:val="18"/>
        </w:rPr>
        <w:t xml:space="preserve">A. Feasibility</w:t>
      </w:r>
    </w:p>
    <w:p>
      <w:pPr>
        <w:pStyle w:val="ListParagraph"/>
        <w:numPr>
          <w:ilvl w:val="0"/>
          <w:numId w:val="1"/>
        </w:numPr>
        <w:spacing w:after="80"/>
        <w:jc w:val="both"/>
      </w:pPr>
      <w:r>
        <w:rPr>
          <w:rFonts w:ascii="Times New Roman" w:cs="Times New Roman" w:eastAsia="Times New Roman" w:hAnsi="Times New Roman"/>
          <w:sz w:val="18"/>
          <w:szCs w:val="18"/>
        </w:rPr>
        <w:t xml:space="preserve">Data Feasibility — a clean, publicly available dataset (1,300+ records, 7 features) removes data-collection risk.</w:t>
      </w:r>
    </w:p>
    <w:p>
      <w:pPr>
        <w:pStyle w:val="ListParagraph"/>
        <w:numPr>
          <w:ilvl w:val="0"/>
          <w:numId w:val="1"/>
        </w:numPr>
        <w:spacing w:after="80"/>
        <w:jc w:val="both"/>
      </w:pPr>
      <w:r>
        <w:rPr>
          <w:rFonts w:ascii="Times New Roman" w:cs="Times New Roman" w:eastAsia="Times New Roman" w:hAnsi="Times New Roman"/>
          <w:sz w:val="18"/>
          <w:szCs w:val="18"/>
        </w:rPr>
        <w:t xml:space="preserve">Technical Feasibility — all planned algorithms (Linear Regression, Random Forest, Gradient Boosting) are well-established and implementable with standard Python machine learning libraries within the project timeline.</w:t>
      </w:r>
    </w:p>
    <w:p>
      <w:pPr>
        <w:pStyle w:val="ListParagraph"/>
        <w:numPr>
          <w:ilvl w:val="0"/>
          <w:numId w:val="1"/>
        </w:numPr>
        <w:spacing w:after="80"/>
        <w:jc w:val="both"/>
      </w:pPr>
      <w:r>
        <w:rPr>
          <w:rFonts w:ascii="Times New Roman" w:cs="Times New Roman" w:eastAsia="Times New Roman" w:hAnsi="Times New Roman"/>
          <w:sz w:val="18"/>
          <w:szCs w:val="18"/>
        </w:rPr>
        <w:t xml:space="preserve">Resource Feasibility — training and evaluation are computationally light and run on a standard laptop, with no specialized hardware required.</w:t>
      </w:r>
    </w:p>
    <w:p>
      <w:pPr>
        <w:spacing w:after="80" w:before="120"/>
      </w:pPr>
      <w:r>
        <w:rPr>
          <w:rFonts w:ascii="Times New Roman" w:cs="Times New Roman" w:eastAsia="Times New Roman" w:hAnsi="Times New Roman"/>
          <w:b/>
          <w:bCs/>
          <w:i/>
          <w:iCs/>
          <w:sz w:val="18"/>
          <w:szCs w:val="18"/>
        </w:rPr>
        <w:t xml:space="preserve">B. Project Timeline</w:t>
      </w:r>
    </w:p>
    <w:p>
      <w:pPr>
        <w:sectPr>
          <w:type w:val="continuous"/>
          <w:pgSz w:w="11906" w:h="16838" w:orient="portrait"/>
          <w:pgMar w:top="1440" w:right="1080" w:bottom="1080" w:left="1080" w:header="708" w:footer="708" w:gutter="0"/>
          <w:pgNumType/>
          <w:cols w:space="360" w:num="2"/>
          <w:docGrid w:linePitch="360"/>
        </w:sectPr>
      </w:pPr>
    </w:p>
    <w:p>
      <w:pPr>
        <w:spacing w:after="100" w:before="100"/>
        <w:jc w:val="center"/>
      </w:pPr>
      <w:r>
        <w:rPr>
          <w:rFonts w:ascii="Times New Roman" w:cs="Times New Roman" w:eastAsia="Times New Roman" w:hAnsi="Times New Roman"/>
          <w:b w:val="false"/>
          <w:bCs w:val="false"/>
          <w:smallCaps/>
          <w:sz w:val="15"/>
          <w:szCs w:val="15"/>
        </w:rPr>
        <w:t xml:space="preserve">TABLE II.	Project Timeline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5000"/>
      </w:tblGrid>
      <w:tr>
        <w:trPr>
          <w:tblHeader/>
        </w:trPr>
        <w:tc>
          <w:tcPr>
            <w:tcW w:type="dxa" w:w="3200"/>
            <w:shd w:fill="D9D9D9" w:val="clear"/>
            <w:tcMar>
              <w:top w:type="dxa" w:w="60"/>
              <w:left w:type="dxa" w:w="80"/>
              <w:bottom w:type="dxa" w:w="60"/>
              <w:right w:type="dxa" w:w="80"/>
            </w:tcMar>
          </w:tcPr>
          <w:p>
            <w:r>
              <w:rPr>
                <w:rFonts w:ascii="Times New Roman" w:cs="Times New Roman" w:eastAsia="Times New Roman" w:hAnsi="Times New Roman"/>
                <w:b/>
                <w:bCs/>
                <w:sz w:val="15"/>
                <w:szCs w:val="15"/>
              </w:rPr>
              <w:t xml:space="preserve">Phase</w:t>
            </w:r>
          </w:p>
        </w:tc>
        <w:tc>
          <w:tcPr>
            <w:tcW w:type="dxa" w:w="1600"/>
            <w:shd w:fill="D9D9D9" w:val="clear"/>
            <w:tcMar>
              <w:top w:type="dxa" w:w="60"/>
              <w:left w:type="dxa" w:w="80"/>
              <w:bottom w:type="dxa" w:w="60"/>
              <w:right w:type="dxa" w:w="80"/>
            </w:tcMar>
          </w:tcPr>
          <w:p>
            <w:r>
              <w:rPr>
                <w:rFonts w:ascii="Times New Roman" w:cs="Times New Roman" w:eastAsia="Times New Roman" w:hAnsi="Times New Roman"/>
                <w:b/>
                <w:bCs/>
                <w:sz w:val="15"/>
                <w:szCs w:val="15"/>
              </w:rPr>
              <w:t xml:space="preserve">Weeks</w:t>
            </w:r>
          </w:p>
        </w:tc>
        <w:tc>
          <w:tcPr>
            <w:tcW w:type="dxa" w:w="5000"/>
            <w:shd w:fill="D9D9D9" w:val="clear"/>
            <w:tcMar>
              <w:top w:type="dxa" w:w="60"/>
              <w:left w:type="dxa" w:w="80"/>
              <w:bottom w:type="dxa" w:w="60"/>
              <w:right w:type="dxa" w:w="80"/>
            </w:tcMar>
          </w:tcPr>
          <w:p>
            <w:r>
              <w:rPr>
                <w:rFonts w:ascii="Times New Roman" w:cs="Times New Roman" w:eastAsia="Times New Roman" w:hAnsi="Times New Roman"/>
                <w:b/>
                <w:bCs/>
                <w:sz w:val="15"/>
                <w:szCs w:val="15"/>
              </w:rPr>
              <w:t xml:space="preserve">Key Deliverable</w:t>
            </w:r>
          </w:p>
        </w:tc>
      </w:tr>
      <w:tr>
        <w:tc>
          <w:tcPr>
            <w:tcW w:type="dxa" w:w="32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Data Collection &amp; Preprocessing</w:t>
            </w:r>
          </w:p>
        </w:tc>
        <w:tc>
          <w:tcPr>
            <w:tcW w:type="dxa" w:w="16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Week 1–2</w:t>
            </w:r>
          </w:p>
        </w:tc>
        <w:tc>
          <w:tcPr>
            <w:tcW w:type="dxa" w:w="50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Cleaned, encoded dataset</w:t>
            </w:r>
          </w:p>
        </w:tc>
      </w:tr>
      <w:tr>
        <w:tc>
          <w:tcPr>
            <w:tcW w:type="dxa" w:w="32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Exploratory Data Analysis &amp; Feature Study</w:t>
            </w:r>
          </w:p>
        </w:tc>
        <w:tc>
          <w:tcPr>
            <w:tcW w:type="dxa" w:w="16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Week 3</w:t>
            </w:r>
          </w:p>
        </w:tc>
        <w:tc>
          <w:tcPr>
            <w:tcW w:type="dxa" w:w="50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Feature-importance findings</w:t>
            </w:r>
          </w:p>
        </w:tc>
      </w:tr>
      <w:tr>
        <w:tc>
          <w:tcPr>
            <w:tcW w:type="dxa" w:w="32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Model Training &amp; Comparison</w:t>
            </w:r>
          </w:p>
        </w:tc>
        <w:tc>
          <w:tcPr>
            <w:tcW w:type="dxa" w:w="16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Week 4–5</w:t>
            </w:r>
          </w:p>
        </w:tc>
        <w:tc>
          <w:tcPr>
            <w:tcW w:type="dxa" w:w="50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Trained regression models (LR, RF, GBM)</w:t>
            </w:r>
          </w:p>
        </w:tc>
      </w:tr>
      <w:tr>
        <w:tc>
          <w:tcPr>
            <w:tcW w:type="dxa" w:w="32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Evaluation &amp; Model Selection</w:t>
            </w:r>
          </w:p>
        </w:tc>
        <w:tc>
          <w:tcPr>
            <w:tcW w:type="dxa" w:w="16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Week 6</w:t>
            </w:r>
          </w:p>
        </w:tc>
        <w:tc>
          <w:tcPr>
            <w:tcW w:type="dxa" w:w="50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Best model + performance report</w:t>
            </w:r>
          </w:p>
        </w:tc>
      </w:tr>
      <w:tr>
        <w:tc>
          <w:tcPr>
            <w:tcW w:type="dxa" w:w="32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Interface Build &amp; Documentation</w:t>
            </w:r>
          </w:p>
        </w:tc>
        <w:tc>
          <w:tcPr>
            <w:tcW w:type="dxa" w:w="16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Week 7</w:t>
            </w:r>
          </w:p>
        </w:tc>
        <w:tc>
          <w:tcPr>
            <w:tcW w:type="dxa" w:w="5000"/>
            <w:tcMar>
              <w:top w:type="dxa" w:w="60"/>
              <w:left w:type="dxa" w:w="80"/>
              <w:bottom w:type="dxa" w:w="60"/>
              <w:right w:type="dxa" w:w="80"/>
            </w:tcMar>
          </w:tcPr>
          <w:p>
            <w:r>
              <w:rPr>
                <w:rFonts w:ascii="Times New Roman" w:cs="Times New Roman" w:eastAsia="Times New Roman" w:hAnsi="Times New Roman"/>
                <w:b w:val="false"/>
                <w:bCs w:val="false"/>
                <w:sz w:val="15"/>
                <w:szCs w:val="15"/>
              </w:rPr>
              <w:t xml:space="preserve">Demo estimator + final report</w:t>
            </w:r>
          </w:p>
        </w:tc>
      </w:tr>
    </w:tbl>
    <w:p>
      <w:pPr>
        <w:spacing w:before="120"/>
      </w:pPr>
    </w:p>
    <w:p>
      <w:pPr>
        <w:sectPr>
          <w:type w:val="continuous"/>
          <w:pgSz w:w="11906" w:h="16838" w:orient="portrait"/>
          <w:pgMar w:top="1440" w:right="1080" w:bottom="1080" w:left="1080" w:header="708" w:footer="708" w:gutter="0"/>
          <w:pgNumType/>
          <w:docGrid w:linePitch="360"/>
        </w:sectPr>
      </w:pPr>
    </w:p>
    <w:p>
      <w:pPr>
        <w:pStyle w:val="Heading1"/>
        <w:spacing w:after="120" w:before="200"/>
        <w:jc w:val="center"/>
      </w:pPr>
      <w:r>
        <w:rPr>
          <w:rFonts w:ascii="Times New Roman" w:cs="Times New Roman" w:eastAsia="Times New Roman" w:hAnsi="Times New Roman"/>
          <w:b/>
          <w:bCs/>
          <w:sz w:val="20"/>
          <w:szCs w:val="20"/>
        </w:rPr>
        <w:t xml:space="preserve">VIII. CONCLUSION AND FUTURE WORK</w:t>
      </w:r>
    </w:p>
    <w:p>
      <w:pPr>
        <w:spacing w:after="120" w:line="276"/>
        <w:ind w:firstLine="0"/>
        <w:jc w:val="both"/>
      </w:pPr>
      <w:r>
        <w:rPr>
          <w:rFonts w:ascii="Times New Roman" w:cs="Times New Roman" w:eastAsia="Times New Roman" w:hAnsi="Times New Roman"/>
          <w:sz w:val="18"/>
          <w:szCs w:val="18"/>
        </w:rPr>
        <w:t xml:space="preserve">This paper proposed a regression-based, explainable medical insurance cost predictor that requires only five to six easily available demographic and lifestyle attributes and communicates both a predicted cost and its key drivers to non-technical users. By benchmarking Linear Regression, Random Forest, and Gradient Boosting against RMSE, MAE, and R² on held-out data, the system selects the most accurate and generalizable model available, while an explainability layer addresses a trust gap left open by prior black-box tools. The current design has several limitations that define directions for future work: the system is trained on a single public dataset and its accuracy is bounded by the absence of full underwriting-level data; it currently produces a static, one-time estimate rather than a continuously updated one; and its geographic and demographic coverage is limited to the attributes present in the training data. Future work will focus on validating the system against larger and more diverse real-world datasets, extending the explainability layer with formal attribution methods such as SHAP, and exploring periodic retraining as new market data becomes available.</w:t>
      </w:r>
    </w:p>
    <w:p>
      <w:pPr>
        <w:pStyle w:val="Heading1"/>
        <w:spacing w:after="120" w:before="200"/>
        <w:jc w:val="center"/>
      </w:pPr>
      <w:r>
        <w:rPr>
          <w:rFonts w:ascii="Times New Roman" w:cs="Times New Roman" w:eastAsia="Times New Roman" w:hAnsi="Times New Roman"/>
          <w:b/>
          <w:bCs/>
          <w:sz w:val="20"/>
          <w:szCs w:val="20"/>
        </w:rPr>
        <w:t xml:space="preserve">ACKNOWLEDGMENT</w:t>
      </w:r>
    </w:p>
    <w:p>
      <w:pPr>
        <w:spacing w:after="120" w:line="276"/>
        <w:ind w:firstLine="0"/>
        <w:jc w:val="both"/>
      </w:pPr>
      <w:r>
        <w:rPr>
          <w:rFonts w:ascii="Times New Roman" w:cs="Times New Roman" w:eastAsia="Times New Roman" w:hAnsi="Times New Roman"/>
          <w:sz w:val="18"/>
          <w:szCs w:val="18"/>
        </w:rPr>
        <w:t xml:space="preserve">The authors thank Dr. Prathusha, Department of Computer Science and Engineering, KLH CSE Bowrampet Campus, for guidance and supervision throughout this project.</w:t>
      </w:r>
    </w:p>
    <w:p>
      <w:pPr>
        <w:pStyle w:val="Heading1"/>
        <w:spacing w:after="120" w:before="200"/>
        <w:jc w:val="center"/>
      </w:pPr>
      <w:r>
        <w:rPr>
          <w:rFonts w:ascii="Times New Roman" w:cs="Times New Roman" w:eastAsia="Times New Roman" w:hAnsi="Times New Roman"/>
          <w:b/>
          <w:bCs/>
          <w:sz w:val="20"/>
          <w:szCs w:val="20"/>
        </w:rPr>
        <w:t xml:space="preserve">REFERENCES</w:t>
      </w:r>
    </w:p>
    <w:p>
      <w:pPr>
        <w:spacing w:after="80"/>
        <w:ind w:left="220" w:hanging="220"/>
      </w:pPr>
      <w:r>
        <w:rPr>
          <w:rFonts w:ascii="Times New Roman" w:cs="Times New Roman" w:eastAsia="Times New Roman" w:hAnsi="Times New Roman"/>
          <w:sz w:val="16"/>
          <w:szCs w:val="16"/>
        </w:rPr>
        <w:t xml:space="preserve">[1]	C. I. Orji and E. Ukwandu, “Machine learning for an explainable cost prediction of medical insurance,” Machine Learning with Applications, 2024.</w:t>
      </w:r>
    </w:p>
    <w:p>
      <w:pPr>
        <w:spacing w:after="80"/>
        <w:ind w:left="220" w:hanging="220"/>
      </w:pPr>
      <w:r>
        <w:rPr>
          <w:rFonts w:ascii="Times New Roman" w:cs="Times New Roman" w:eastAsia="Times New Roman" w:hAnsi="Times New Roman"/>
          <w:sz w:val="16"/>
          <w:szCs w:val="16"/>
        </w:rPr>
        <w:t xml:space="preserve">[2]	Y. Shen, “Refining medical insurance cost predictions with advanced machine learning models,” 2025.</w:t>
      </w:r>
    </w:p>
    <w:p>
      <w:pPr>
        <w:spacing w:after="80"/>
        <w:ind w:left="220" w:hanging="220"/>
      </w:pPr>
      <w:r>
        <w:rPr>
          <w:rFonts w:ascii="Times New Roman" w:cs="Times New Roman" w:eastAsia="Times New Roman" w:hAnsi="Times New Roman"/>
          <w:sz w:val="16"/>
          <w:szCs w:val="16"/>
        </w:rPr>
        <w:t xml:space="preserve">[3]	Y. Wang, “Machine learning approaches for medical insurance cost prediction,” in Proc. Int. Conf. Intelligent Applications of Artificial Intelligence (ICIAAI), 2026.</w:t>
      </w:r>
    </w:p>
    <w:sectPr>
      <w:type w:val="continuous"/>
      <w:pgSz w:w="11906" w:h="16838" w:orient="portrait"/>
      <w:pgMar w:top="1440" w:right="1080" w:bottom="108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2026-09-22T05:26:14.616Z</dcterms:created>
  <dcterms:modified xsi:type="dcterms:W3CDTF">2026-09-22T05:26:14.616Z</dcterms:modified>
</cp:coreProperties>
</file>

<file path=docProps/custom.xml><?xml version="1.0" encoding="utf-8"?>
<Properties xmlns="http://schemas.openxmlformats.org/officeDocument/2006/custom-properties" xmlns:vt="http://schemas.openxmlformats.org/officeDocument/2006/docPropsVTypes"/>
</file>