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937"/>
          <w:sz w:val="30"/>
          <w:szCs w:val="30"/>
        </w:rPr>
        <w:t xml:space="preserve">Zesty Drinks — What the Dashboard Is Actually Telling Us</w:t>
      </w:r>
    </w:p>
    <w:p>
      <w:pPr>
        <w:pStyle w:val="Heading1"/>
        <w:spacing w:after="130" w:before="280"/>
      </w:pPr>
      <w:r>
        <w:t xml:space="preserve">Business Overview</w:t>
      </w:r>
    </w:p>
    <w:p>
      <w:pPr>
        <w:spacing w:after="160"/>
      </w:pPr>
      <w:r>
        <w:t xml:space="preserve">The top-line numbers look good at first glance — $275M in revenue, $105M profit, a 38% margin. But the growth figure tells a different story: -35%. That's the number that actually matters here. A business can be profitable and still be in trouble, and that's exactly what's happening — revenue and profit are strong today, but the trend is heading the wrong way.</w:t>
      </w:r>
    </w:p>
    <w:p>
      <w:pPr>
        <w:spacing w:after="160"/>
      </w:pPr>
      <w:r>
        <w:t xml:space="preserve">Pennsylvania and Missouri are clearly out in front of the other regions on the Top 5 chart, with Maine, Tennessee, and Colorado trailing behind. That's not necessarily bad, but it means a lot of the business is riding on two places doing well. If either one softens, there's no obvious backup.</w:t>
      </w:r>
    </w:p>
    <w:p>
      <w:pPr>
        <w:spacing w:after="160"/>
      </w:pPr>
      <w:r>
        <w:t xml:space="preserve">One thing worth a second look: the region donut shows "22.31M Total Revenue," but that's only adding up Pennsylvania, Missouri, and Maine — not the full $275M shown at the top of the page. Both are labeled the same way, so it's easy to misread one as the other.</w:t>
      </w:r>
    </w:p>
    <w:p>
      <w:pPr>
        <w:spacing w:after="160"/>
      </w:pPr>
      <w:r>
        <w:t xml:space="preserve">The revenue and profit trend from 2019 to 2023 doesn't climb steadily — it moves in a repeating up-and-down pattern instead. Worth keeping in mind for planning, since the business doesn't grow in a straight line.</w:t>
      </w:r>
    </w:p>
    <w:p>
      <w:pPr>
        <w:pStyle w:val="Heading1"/>
        <w:spacing w:after="130" w:before="280"/>
      </w:pPr>
      <w:r>
        <w:t xml:space="preserve">Customer Insights</w:t>
      </w:r>
    </w:p>
    <w:p>
      <w:pPr>
        <w:spacing w:after="160"/>
      </w:pPr>
      <w:r>
        <w:t xml:space="preserve">With 10,000 customers averaging $27.5K in revenue each, the customer base has real weight behind it. What's interesting is how evenly revenue splits across Premium, Business, and Regular segments — almost exactly a third each. No single segment is carrying the business, which means none of them can be ignored either.</w:t>
      </w:r>
    </w:p>
    <w:p>
      <w:pPr>
        <w:spacing w:after="160"/>
      </w:pPr>
      <w:r>
        <w:t xml:space="preserve">Loyalty tier tells a clearer story than segment does — Platinum customers are well ahead of Silver and Gold. If there's one lever to pull for protecting high-value revenue, it's tier, not segment.</w:t>
      </w:r>
    </w:p>
    <w:p>
      <w:pPr>
        <w:spacing w:after="160"/>
      </w:pPr>
      <w:r>
        <w:t xml:space="preserve">Gender split is close to even (49.6% male, 50.4% female), and the Top 10 Customers table shows high spenders coming from a mix of countries and segments — not clustered in one group. The customer base, overall, looks broad and healthy. Whatever's dragging growth down, it probably isn't coming from here.</w:t>
      </w:r>
    </w:p>
    <w:p>
      <w:pPr>
        <w:pStyle w:val="Heading1"/>
        <w:spacing w:after="130" w:before="280"/>
      </w:pPr>
      <w:r>
        <w:t xml:space="preserve">Product Insights</w:t>
      </w:r>
    </w:p>
    <w:p>
      <w:pPr>
        <w:spacing w:after="160"/>
      </w:pPr>
      <w:r>
        <w:t xml:space="preserve">Soda, Milkshake, and Iced Tea are doing most of the work — Coffee and Juice barely register next to them on the revenue and profit chart. That's a pretty clear signal about where to put marketing and production effort, and where to question whether it's worth keeping two categories around that aren't pulling their weight.</w:t>
      </w:r>
    </w:p>
    <w:p>
      <w:pPr>
        <w:spacing w:after="160"/>
      </w:pPr>
      <w:r>
        <w:t xml:space="preserve">$25M of the $275M revenue went out as discounts — about 9%. Not alarming on its own, but worth checking whether that discounting is propping up the weaker categories or spread evenly across the board.</w:t>
      </w:r>
    </w:p>
    <w:p>
      <w:pPr>
        <w:spacing w:after="160"/>
      </w:pPr>
      <w:r>
        <w:t xml:space="preserve">The product table is better than it used to be — it now actually shows product names, categories, and production costs instead of customer data. But right now it's listing the same product (Cool Splash) over and over with slightly different production costs, instead of five different top products. Close, but not quite there.</w:t>
      </w:r>
    </w:p>
    <w:p>
      <w:pPr>
        <w:spacing w:after="160"/>
      </w:pPr>
      <w:r>
        <w:t xml:space="preserve">Inventory value sitting at $179M against $275M in revenue is a big number relative to the top line — especially next to that -35% growth figure. Worth asking whether production has been keeping pace with actual demand, or running ahead of it.</w:t>
      </w:r>
    </w:p>
    <w:p>
      <w:pPr>
        <w:pStyle w:val="Heading1"/>
        <w:spacing w:after="130" w:before="280"/>
      </w:pPr>
      <w:r>
        <w:t xml:space="preserve">Inventory Insights</w:t>
      </w:r>
    </w:p>
    <w:p>
      <w:pPr>
        <w:spacing w:after="160"/>
      </w:pPr>
      <w:r>
        <w:t xml:space="preserve">Fifty products are currently below their reorder level — out of the whole catalog, that's a big chunk, and it's the one number on this whole dashboard that's a direct to-do list rather than just something to observe.</w:t>
      </w:r>
    </w:p>
    <w:p>
      <w:pPr>
        <w:spacing w:after="160"/>
      </w:pPr>
      <w:r>
        <w:t xml:space="preserve">The inventory trend chart backs that up — stock on hand has been drifting downward over the months shown. Combined with the 50-products number, it looks less like a one-off dip and more like restocking isn't keeping pace.</w:t>
      </w:r>
    </w:p>
    <w:p>
      <w:pPr>
        <w:spacing w:after="160"/>
      </w:pPr>
      <w:r>
        <w:t xml:space="preserve">The "Stock vs Reorder Level" chart names the specific products at risk — Cool Splash, Zesty Swirl, Fresh Burst, and others — so whoever handles procurement doesn't have to go hunting through the full catalog to know what to prioritize.</w:t>
      </w:r>
    </w:p>
    <w:p>
      <w:pPr>
        <w:pStyle w:val="Heading1"/>
        <w:spacing w:after="130" w:before="280"/>
      </w:pPr>
      <w:r>
        <w:t xml:space="preserve">Shipping Insights</w:t>
      </w:r>
    </w:p>
    <w:p>
      <w:pPr>
        <w:spacing w:after="160"/>
      </w:pPr>
      <w:r>
        <w:t xml:space="preserve">Delivery averages 5.5 days with a 4.0 carrier rating — decent, not outstanding. That's a fair baseline for comparing carriers against when it's time to renegotiate or swap one out.</w:t>
      </w:r>
    </w:p>
    <w:p>
      <w:pPr>
        <w:spacing w:after="160"/>
      </w:pPr>
      <w:r>
        <w:t xml:space="preserve">Missouri and Maine cost more to ship to than the other top regions. Not a huge gap, but enough that regional warehousing or routing changes could shave something off shipping spend.</w:t>
      </w:r>
    </w:p>
    <w:p>
      <w:pPr>
        <w:spacing w:after="160"/>
      </w:pPr>
      <w:r>
        <w:t xml:space="preserve">The warehouse performance numbers (WH-058, WH-053, WH-036) are all close to each other — roughly 75 shipments each, delivery times within a few hundredths of a day. Nothing stands out as a problem warehouse right now, but it's the table to watch if one starts falling behind.</w:t>
      </w:r>
    </w:p>
    <w:p>
      <w:pPr>
        <w:pStyle w:val="Heading1"/>
        <w:spacing w:after="130" w:before="280"/>
      </w:pPr>
      <w:r>
        <w:t xml:space="preserve">Putting it together</w:t>
      </w:r>
    </w:p>
    <w:p>
      <w:pPr>
        <w:spacing w:after="160"/>
      </w:pPr>
      <w:r>
        <w:t xml:space="preserve">The story across all five pages is consistent: the business is profitable but shrinking, revenue leans heavily on a couple of regions and a few product categories, and the customer base itself looks fine — broad, balanced, not the likely source of the growth problem. The more likely culprits are the product mix, the regional concentration, or supply chain gaps showing up in the inventory numbers. That's the kind of thing a dashboard is supposed to surface, and this one does.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2026-10-03T07:48:15.331Z</dcterms:created>
  <dcterms:modified xsi:type="dcterms:W3CDTF">2026-10-03T07:48:15.332Z</dcterms:modified>
</cp:coreProperties>
</file>

<file path=docProps/custom.xml><?xml version="1.0" encoding="utf-8"?>
<Properties xmlns="http://schemas.openxmlformats.org/officeDocument/2006/custom-properties" xmlns:vt="http://schemas.openxmlformats.org/officeDocument/2006/docPropsVTypes"/>
</file>