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Association for Democratic Reforms vs Election Commission of India (2024)</w:t>
      </w:r>
    </w:p>
    <w:p>
      <w:r>
        <w:t>Case Title: Association for Democratic Reforms vs Election Commission of India</w:t>
      </w:r>
    </w:p>
    <w:p>
      <w:r>
        <w:t>Citation: 2024 INSC 341</w:t>
      </w:r>
    </w:p>
    <w:p>
      <w:r>
        <w:t>Court: Supreme Court of India</w:t>
      </w:r>
    </w:p>
    <w:p>
      <w:r>
        <w:t>Date of Judgment: 26 April 2024</w:t>
      </w:r>
    </w:p>
    <w:p>
      <w:r>
        <w:t>Bench: Justice Sanjiv Khanna, Justice Dipankar Datta</w:t>
      </w:r>
    </w:p>
    <w:p>
      <w:pPr>
        <w:pStyle w:val="Heading2"/>
      </w:pPr>
      <w:r>
        <w:t>Facts of the Case:</w:t>
      </w:r>
    </w:p>
    <w:p>
      <w:r>
        <w:t>- Petitioners challenged the reliability of Electronic Voting Machines (EVMs) and Voter Verifiable Paper Audit Trail (VVPAT).</w:t>
        <w:br/>
        <w:t>- They sought a return to paper ballots, 100% VVPAT slip counting, and questioned transparency in symbol loading.</w:t>
        <w:br/>
        <w:t>- Alleged modifications and insufficient visibility in VVPAT display raised constitutional concerns.</w:t>
      </w:r>
    </w:p>
    <w:p>
      <w:pPr>
        <w:pStyle w:val="Heading2"/>
      </w:pPr>
      <w:r>
        <w:t>Procedural History:</w:t>
      </w:r>
    </w:p>
    <w:p>
      <w:r>
        <w:t>- Similar pleas had been dismissed in the past.</w:t>
        <w:br/>
        <w:t>- Supreme Court consolidated current writ petitions for review.</w:t>
        <w:br/>
        <w:t>- Detailed technical and procedural inputs were taken from the Election Commission of India (ECI).</w:t>
      </w:r>
    </w:p>
    <w:p>
      <w:pPr>
        <w:pStyle w:val="Heading2"/>
      </w:pPr>
      <w:r>
        <w:t>Issues before the Court:</w:t>
      </w:r>
    </w:p>
    <w:p>
      <w:r>
        <w:t>1. Whether EVM-VVPAT system is transparent and tamper-proof.</w:t>
        <w:br/>
        <w:t>2. Whether 100% manual VVPAT slip counting is needed.</w:t>
        <w:br/>
        <w:t>3. Whether Rule 49MA is unconstitutional.</w:t>
        <w:br/>
        <w:t>4. Whether returning to paper ballots is necessary.</w:t>
      </w:r>
    </w:p>
    <w:p>
      <w:pPr>
        <w:pStyle w:val="Heading2"/>
      </w:pPr>
      <w:r>
        <w:t>Judgment:</w:t>
      </w:r>
    </w:p>
    <w:p>
      <w:r>
        <w:t>- Court upheld EVM-VVPAT integrity and rejected the call to return to paper ballots.</w:t>
        <w:br/>
        <w:t>- Dismissed plea for 100% VVPAT slip counting, upheld 5-slip random count rule.</w:t>
        <w:br/>
        <w:t>- Rule 49MA held valid.</w:t>
        <w:br/>
        <w:t>- Directed limited post-election technical verification.</w:t>
      </w:r>
    </w:p>
    <w:p>
      <w:pPr>
        <w:pStyle w:val="Heading2"/>
      </w:pPr>
      <w:r>
        <w:t>Key Legal Findings:</w:t>
      </w:r>
    </w:p>
    <w:p>
      <w:r>
        <w:t>1. EVMs are non-networked, have one-time programmable firmware, and are tamper-proof.</w:t>
        <w:br/>
        <w:t>2. VVPAT system gives 7-second slip visibility to voters, fulfilling right to verify.</w:t>
        <w:br/>
        <w:t>3. No evidence of manipulation found in over 4 crore VVPAT verifications.</w:t>
        <w:br/>
        <w:t>4. Returning to paper ballots deemed regressive and impractical.</w:t>
        <w:br/>
        <w:t>5. Court emphasized facts over speculation to maintain electoral confidence.</w:t>
      </w:r>
    </w:p>
    <w:p>
      <w:pPr>
        <w:pStyle w:val="Heading2"/>
      </w:pPr>
      <w:r>
        <w:t>Final Decision:</w:t>
      </w:r>
    </w:p>
    <w:p>
      <w:r>
        <w:t>✅ Writ petitions dismissed</w:t>
        <w:br/>
        <w:t>✅ 5% manual VVPAT verification retained</w:t>
        <w:br/>
        <w:t>✅ Sealing and storing of symbol loading units post-election mandated</w:t>
        <w:br/>
        <w:t>✅ Optional post-election microcontroller audit for top losing candidates allowed</w:t>
        <w:br/>
        <w:t>✅ No fundamental rights violation found</w:t>
        <w:br/>
        <w:t>✅ Court acknowledged but declined to expand manual processes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