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Legal Case Summary: DBS Bank Limited Singapore vs Ruchi Soya Industries Limited &amp; Another (2024)</w:t>
      </w:r>
    </w:p>
    <w:p>
      <w:r>
        <w:t>Case Title: DBS Bank Limited Singapore vs Ruchi Soya Industries Limited &amp; Another</w:t>
      </w:r>
    </w:p>
    <w:p>
      <w:r>
        <w:t>Citation: 2024 INSC 14</w:t>
      </w:r>
    </w:p>
    <w:p>
      <w:r>
        <w:t>Court: Supreme Court of India</w:t>
      </w:r>
    </w:p>
    <w:p>
      <w:r>
        <w:t>Date of Judgment: 3 January 2024</w:t>
      </w:r>
    </w:p>
    <w:p>
      <w:r>
        <w:t>Bench: Sanjiv Khanna, S.V.N. Bhatti</w:t>
      </w:r>
    </w:p>
    <w:p>
      <w:pPr>
        <w:pStyle w:val="Heading2"/>
      </w:pPr>
      <w:r>
        <w:t>Facts of the Case:</w:t>
      </w:r>
    </w:p>
    <w:p>
      <w:r>
        <w:t>- DBS Bank Singapore had granted a loan of ₹243 crore to Ruchi Soya Industries Limited, secured with exclusive first charges over specific assets.</w:t>
        <w:br/>
        <w:t>- Ruchi Soya entered Corporate Insolvency Resolution Process (CIRP) in December 2017.</w:t>
        <w:br/>
        <w:t>- Patanjali Ayurved submitted a resolution plan in March 2019.</w:t>
        <w:br/>
        <w:t>- DBS Bank dissented, raising concerns over unfair distribution of resolution proceeds compared to its security value.</w:t>
        <w:br/>
        <w:t>- In 2019, Section 30(2)(b)(ii) of the Insolvency and Bankruptcy Code (IBC) was amended to protect dissenting secured creditors.</w:t>
      </w:r>
    </w:p>
    <w:p>
      <w:pPr>
        <w:pStyle w:val="Heading2"/>
      </w:pPr>
      <w:r>
        <w:t>Procedural History:</w:t>
      </w:r>
    </w:p>
    <w:p>
      <w:r>
        <w:t>- Resolution plan approved by CoC with 96.95% votes, despite DBS dissent.</w:t>
        <w:br/>
        <w:t>- NCLT gave provisional (July 2019) and final (September 2019) approval to the plan.</w:t>
        <w:br/>
        <w:t>- DBS challenged the distribution mechanism before NCLT and NCLAT, both of which dismissed the challenges.</w:t>
        <w:br/>
        <w:t>- Supreme Court admitted DBS’s appeal and ordered an interim escrow deposit of ₹99.74 crore (difference between liquidation entitlement and actual payout).</w:t>
      </w:r>
    </w:p>
    <w:p>
      <w:pPr>
        <w:pStyle w:val="Heading2"/>
      </w:pPr>
      <w:r>
        <w:t>Issues before the Court:</w:t>
      </w:r>
    </w:p>
    <w:p>
      <w:r>
        <w:t>1. Does the amended Section 30(2)(b)(ii) of IBC apply retrospectively to pending CIRP cases and appeals?</w:t>
        <w:br/>
        <w:t>2. Is a dissenting secured creditor like DBS entitled to at least the liquidation value of its security interest?</w:t>
        <w:br/>
        <w:t>3. Is there a conflict between CoC's commercial wisdom under Section 30(4) and statutory rights under Section 30(2)(b)(ii)?</w:t>
        <w:br/>
        <w:t>4. Was the India Resurgence ARC case decision correct in its interpretation?</w:t>
      </w:r>
    </w:p>
    <w:p>
      <w:pPr>
        <w:pStyle w:val="Heading2"/>
      </w:pPr>
      <w:r>
        <w:t>Judgment:</w:t>
      </w:r>
    </w:p>
    <w:p>
      <w:r>
        <w:t>- Supreme Court held that Section 30(2)(b)(ii) applies to pending cases post the 2019 IBC amendment.</w:t>
        <w:br/>
        <w:t>- Dissenting secured financial creditors are entitled to receive at least the liquidation value of their security interest.</w:t>
        <w:br/>
        <w:t>- Found inconsistencies in India Resurgence ARC judgment and referred the issue to a larger bench.</w:t>
      </w:r>
    </w:p>
    <w:p>
      <w:pPr>
        <w:pStyle w:val="Heading2"/>
      </w:pPr>
      <w:r>
        <w:t>Key Legal Findings:</w:t>
      </w:r>
    </w:p>
    <w:p>
      <w:r>
        <w:t>1. Retrospective Application: The 2019 IBC Amendment applies to ongoing CIRP and NCLAT proceedings.</w:t>
        <w:br/>
        <w:t>2. Liquidation Floor: Dissenting secured creditors cannot receive less than their liquidation entitlement.</w:t>
        <w:br/>
        <w:t>3. CoC’s Commercial Wisdom: While commercial decisions are respected, CoC cannot bypass minimum statutory protections.</w:t>
        <w:br/>
        <w:t>4. No Security Enforcement Right: Dissenting creditors can't enforce their security but must receive monetary equivalent of liquidation value.</w:t>
        <w:br/>
        <w:t>5. Larger Bench Reference: To resolve conflicting interpretations, the Supreme Court referred the question to a larger bench.</w:t>
      </w:r>
    </w:p>
    <w:p>
      <w:pPr>
        <w:pStyle w:val="Heading2"/>
      </w:pPr>
      <w:r>
        <w:t>Final Decision:</w:t>
      </w:r>
    </w:p>
    <w:p>
      <w:r>
        <w:t>✅ Appeal allowed in part</w:t>
        <w:br/>
        <w:t>✅ Issue referred to a larger bench</w:t>
        <w:br/>
        <w:t>✅ Interim escrow arrangement continues till final decision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