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Delhi Race Club (1940) Ltd &amp; Others vs State of Uttar Pradesh &amp; Another (2024)</w:t>
      </w:r>
    </w:p>
    <w:p>
      <w:r>
        <w:t>Case Title: Delhi Race Club (1940) Ltd &amp; Others vs State of Uttar Pradesh &amp; Another</w:t>
      </w:r>
    </w:p>
    <w:p>
      <w:r>
        <w:t>Citation: 2024 INSC 626</w:t>
      </w:r>
    </w:p>
    <w:p>
      <w:r>
        <w:t>Court: Supreme Court of India</w:t>
      </w:r>
    </w:p>
    <w:p>
      <w:r>
        <w:t>Date of Judgment: 23 August 2024</w:t>
      </w:r>
    </w:p>
    <w:p>
      <w:r>
        <w:t>Bench: J.B. Pardiwala, Manoj Misra</w:t>
      </w:r>
    </w:p>
    <w:p>
      <w:pPr>
        <w:pStyle w:val="Heading2"/>
      </w:pPr>
      <w:r>
        <w:t>Facts of the Case:</w:t>
      </w:r>
    </w:p>
    <w:p>
      <w:r>
        <w:t>- The complainant, Vipin Kumar Agarwal (owner of Agarwal Udyog), supplied horse feed to Delhi Race Club since 1990.</w:t>
        <w:br/>
        <w:t>- From 1995, invoices were raised in the name of Delhi Horse Trainers Association on the directions of the Race Club.</w:t>
        <w:br/>
        <w:t>- By 2017, payments stopped, and ₹9,11,434 remained unpaid.</w:t>
        <w:br/>
        <w:t>- Despite a legal notice in 2020, the dues were not cleared.</w:t>
        <w:br/>
        <w:t>- The complainant filed a private criminal complaint alleging cheating, criminal breach of trust, and conspiracy (Sections 406, 420, 120B IPC).</w:t>
        <w:br/>
        <w:t>- The Magistrate issued process only for Section 406 IPC (Criminal Breach of Trust) after Section 202 CrPC inquiry.</w:t>
        <w:br/>
        <w:t>- The appellants sought quashing of the order, but the High Court dismissed their plea.</w:t>
      </w:r>
    </w:p>
    <w:p>
      <w:pPr>
        <w:pStyle w:val="Heading2"/>
      </w:pPr>
      <w:r>
        <w:t>Procedural History:</w:t>
      </w:r>
    </w:p>
    <w:p>
      <w:r>
        <w:t>- Complaint filed before ACJM Khurja, Bulandshahar.</w:t>
        <w:br/>
        <w:t>- Summoning order issued under Section 406 IPC.</w:t>
        <w:br/>
        <w:t>- Application for quashing filed before the Allahabad High Court was rejected.</w:t>
        <w:br/>
        <w:t>- Appellants approached the Supreme Court challenging both the Magistrate’s and High Court’s orders.</w:t>
      </w:r>
    </w:p>
    <w:p>
      <w:pPr>
        <w:pStyle w:val="Heading2"/>
      </w:pPr>
      <w:r>
        <w:t>Issues before the Court:</w:t>
      </w:r>
    </w:p>
    <w:p>
      <w:r>
        <w:t>1. Whether a prima facie case under Section 406 IPC (Criminal Breach of Trust) was made out.</w:t>
        <w:br/>
        <w:t>2. Whether the High Court erred in rejecting the quashing petition under Section 482 CrPC.</w:t>
        <w:br/>
        <w:t>3. Whether a simple case of non-payment of dues could constitute criminal breach of trust or cheating.</w:t>
      </w:r>
    </w:p>
    <w:p>
      <w:pPr>
        <w:pStyle w:val="Heading2"/>
      </w:pPr>
      <w:r>
        <w:t>Judgment:</w:t>
      </w:r>
    </w:p>
    <w:p>
      <w:r>
        <w:t>- The Supreme Court allowed the appeal.</w:t>
        <w:br/>
        <w:t>- It quashed both the High Court order and the summoning order issued by the Magistrate.</w:t>
      </w:r>
    </w:p>
    <w:p>
      <w:pPr>
        <w:pStyle w:val="Heading2"/>
      </w:pPr>
      <w:r>
        <w:t>Key Legal Findings:</w:t>
      </w:r>
    </w:p>
    <w:p>
      <w:r>
        <w:t>1. No Entrustment: In cases of sale, property passes to the buyer upon delivery; no entrustment exists under Section 405 IPC.</w:t>
        <w:br/>
        <w:t>2. Civil vs Criminal Liability: Non-payment of sale consideration may create civil liability but does not constitute criminal breach of trust or cheating.</w:t>
        <w:br/>
        <w:t>3. Vicarious Liability: Office bearers of a company cannot be held vicariously liable without specific allegations of their direct involvement.</w:t>
        <w:br/>
        <w:t>4. Mechanical Summoning: Courts must apply judicial mind before issuing process; summoning is a serious matter affecting individual rights.</w:t>
        <w:br/>
        <w:t>5. Abuse of Process: Continuing the criminal proceedings in this case would be an abuse of the process of law.</w:t>
      </w:r>
    </w:p>
    <w:p>
      <w:pPr>
        <w:pStyle w:val="Heading2"/>
      </w:pPr>
      <w:r>
        <w:t>Final Decision:</w:t>
      </w:r>
    </w:p>
    <w:p>
      <w:r>
        <w:t>✅ Appeal allowed</w:t>
        <w:br/>
        <w:t>✅ High Court and Magistrate’s orders quashed</w:t>
        <w:br/>
        <w:t>✅ Criminal proceedings against the appellants dropped</w:t>
        <w:br/>
        <w:t>✅ Registry directed to circulate judgment to relevant government departments for awareness on misuse of Sections 406 and 420 IPC in commercial disputes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