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GLAS Trust Company LLC vs Byju Raveendran &amp; Others (2024)</w:t>
      </w:r>
    </w:p>
    <w:p>
      <w:r>
        <w:t>Case Title: GLAS Trust Company LLC vs Byju Raveendran &amp; Others</w:t>
      </w:r>
    </w:p>
    <w:p>
      <w:r>
        <w:t>Citation: 2024 INSC 811</w:t>
      </w:r>
    </w:p>
    <w:p>
      <w:r>
        <w:t>Court: Supreme Court of India</w:t>
      </w:r>
    </w:p>
    <w:p>
      <w:r>
        <w:t>Date of Judgment: 23 October 2024</w:t>
      </w:r>
    </w:p>
    <w:p>
      <w:r>
        <w:t>Bench: Dhananjaya Y Chandrachud (CJI)</w:t>
      </w:r>
    </w:p>
    <w:p>
      <w:pPr>
        <w:pStyle w:val="Heading2"/>
      </w:pPr>
      <w:r>
        <w:t>Facts of the Case:</w:t>
      </w:r>
    </w:p>
    <w:p>
      <w:r>
        <w:t>- Think and Learn Pvt Ltd (Byju’s) faced insolvency proceedings under the Insolvency and Bankruptcy Code (IBC), 2016, following a petition filed by the Board of Control for Cricket in India (BCCI) over unpaid dues of ₹158 crore.</w:t>
        <w:br/>
        <w:t>- GLAS Trust Company LLC, acting as a financial creditor, objected to a settlement made between Byju’s and BCCI which led to the withdrawal of the Corporate Insolvency Resolution Process (CIRP).</w:t>
        <w:br/>
        <w:t>- Parallel proceedings were ongoing in the US (Delaware Court) over alleged fraudulent transfer of $533 million from Byju’s US subsidiary.</w:t>
        <w:br/>
        <w:t>- The NCLAT approved the settlement relying on an affidavit from Riju Raveendran stating the funds came from his personal sources.</w:t>
        <w:br/>
        <w:t>- GLAS challenged this decision citing concerns over the source of funds, procedural irregularities, and stakeholder rights.</w:t>
      </w:r>
    </w:p>
    <w:p>
      <w:pPr>
        <w:pStyle w:val="Heading2"/>
      </w:pPr>
      <w:r>
        <w:t>Procedural History:</w:t>
      </w:r>
    </w:p>
    <w:p>
      <w:r>
        <w:t>- NCLT admitted the insolvency petition in July 2024 and initiated CIRP.</w:t>
        <w:br/>
        <w:t>- NCLAT approved the settlement and set aside the NCLT order after Riju Raveendran’s affidavit.</w:t>
        <w:br/>
        <w:t>- GLAS appealed the NCLAT order before the Supreme Court.</w:t>
        <w:br/>
        <w:t>- The Supreme Court issued an interim stay on the NCLAT order in August 2024 and directed the ₹158 crore settlement amount be placed in escrow.</w:t>
      </w:r>
    </w:p>
    <w:p>
      <w:pPr>
        <w:pStyle w:val="Heading2"/>
      </w:pPr>
      <w:r>
        <w:t>Issues before the Court:</w:t>
      </w:r>
    </w:p>
    <w:p>
      <w:r>
        <w:t>1. Whether GLAS had the locus standi (legal standing) to challenge the settlement.</w:t>
        <w:br/>
        <w:t>2. Whether NCLAT correctly invoked its inherent powers under Rule 11 instead of following the prescribed Section 12A and Regulation 30A procedure for CIRP withdrawal.</w:t>
        <w:br/>
        <w:t>3. Whether the objections of GLAS regarding source of settlement funds and stakeholder rights were properly addressed.</w:t>
      </w:r>
    </w:p>
    <w:p>
      <w:pPr>
        <w:pStyle w:val="Heading2"/>
      </w:pPr>
      <w:r>
        <w:t>Judgment:</w:t>
      </w:r>
    </w:p>
    <w:p>
      <w:r>
        <w:t>- Supreme Court allowed the appeal by GLAS Trust Company LLC.</w:t>
        <w:br/>
        <w:t>- The NCLAT’s order approving the settlement and setting aside CIRP was quashed.</w:t>
        <w:br/>
        <w:t>- CIRP proceedings resumed, restoring the original NCLT order admitting insolvency proceedings against Byju’s.</w:t>
      </w:r>
    </w:p>
    <w:p>
      <w:pPr>
        <w:pStyle w:val="Heading2"/>
      </w:pPr>
      <w:r>
        <w:t>Key Legal Findings:</w:t>
      </w:r>
    </w:p>
    <w:p>
      <w:r>
        <w:t>1. Collective Process: Once CIRP is admitted, proceedings become in rem, and all creditors, not just the original parties, become stakeholders.</w:t>
        <w:br/>
        <w:t>2. Procedural Lapse: NCLAT erred by bypassing the specific withdrawal procedure under Section 12A and Regulation 30A.</w:t>
        <w:br/>
        <w:t>3. Locus Standi: GLAS had locus as a financial creditor impacted by the withdrawal decision.</w:t>
        <w:br/>
        <w:t>4. Rule 11 Limitation: NCLAT’s inherent powers under Rule 11 cannot override the express legal framework of the IBC.</w:t>
        <w:br/>
        <w:t>5. Stakeholder Interests: Proper notice and opportunity must be given to all stakeholders before such settlements.</w:t>
        <w:br/>
        <w:t>6. Source of Funds: The Supreme Court stressed on due diligence over fund sources to avoid violation of foreign court orders.</w:t>
      </w:r>
    </w:p>
    <w:p>
      <w:pPr>
        <w:pStyle w:val="Heading2"/>
      </w:pPr>
      <w:r>
        <w:t>Final Decision:</w:t>
      </w:r>
    </w:p>
    <w:p>
      <w:r>
        <w:t>✅ Appeal allowed</w:t>
        <w:br/>
        <w:t>✅ NCLAT order quashed</w:t>
        <w:br/>
        <w:t>✅ CIRP proceedings against Byju’s reinstated</w:t>
        <w:br/>
        <w:t>✅ ₹158 crore settlement amount held in escrow, pending further directions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