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</w:t>
      </w:r>
    </w:p>
    <w:p>
      <w:r>
        <w:t>**Case Title:** Baccarose Perfumes and Beauty Products Pvt. Ltd vs Central Bureau of Investigation &amp; Anr</w:t>
      </w:r>
    </w:p>
    <w:p>
      <w:r>
        <w:t>**Court:** Supreme Court of India</w:t>
      </w:r>
    </w:p>
    <w:p>
      <w:r>
        <w:t>**Date of Judgment:** 6 September 2024</w:t>
      </w:r>
    </w:p>
    <w:p>
      <w:r>
        <w:t>**Bench:** Abhay S. Oka, Augustine George Masih</w:t>
      </w:r>
    </w:p>
    <w:p>
      <w:r>
        <w:t>**Citation:** 2024 INSC 662</w:t>
      </w:r>
    </w:p>
    <w:p>
      <w:pPr>
        <w:pStyle w:val="Heading2"/>
      </w:pPr>
      <w:r>
        <w:t>Background:</w:t>
      </w:r>
    </w:p>
    <w:p>
      <w:r>
        <w:t>The appellant, Baccarose Perfumes and Beauty Products Pvt. Ltd., challenged the Gujarat High Court's dismissal of their criminal revision application, which upheld a Special Judge's refusal to discharge them in a case alleging wrongful evasion of customs duties. The case involved alleged collusion with customs officials to undervalue goods cleared from KASEZ by declaring invoice value instead of MRP, causing a loss to the government of ₹8 crores.</w:t>
      </w:r>
    </w:p>
    <w:p>
      <w:pPr>
        <w:pStyle w:val="Heading2"/>
      </w:pPr>
      <w:r>
        <w:t>Key Legal Issues:</w:t>
      </w:r>
    </w:p>
    <w:p>
      <w:r>
        <w:t>1. Whether the Appellant was liable for prosecution despite immunity granted by the Settlement Commission.</w:t>
      </w:r>
    </w:p>
    <w:p>
      <w:r>
        <w:t>2. Whether proceedings were valid under Section 120B IPC and the Prevention of Corruption Act.</w:t>
      </w:r>
    </w:p>
    <w:p>
      <w:r>
        <w:t>3. Whether the High Court erred in not considering the finality of customs appellate orders.</w:t>
      </w:r>
    </w:p>
    <w:p>
      <w:pPr>
        <w:pStyle w:val="Heading2"/>
      </w:pPr>
      <w:r>
        <w:t>Court Findings:</w:t>
      </w:r>
    </w:p>
    <w:p>
      <w:r>
        <w:t>- The Supreme Court found that the Commissioner of Customs had already ruled in favor of the appellant on the question of assessment under invoice value, not MRP.</w:t>
        <w:br/>
        <w:t>- The appellant had been granted immunity under CE Act 1944, CA 1962, and IPC 1860.</w:t>
        <w:br/>
        <w:t>- The Revenue Authorities did not challenge this finding, and the refund due had been accepted.</w:t>
        <w:br/>
        <w:t>- The prosecution sanction against co-accused public servants was denied; hence, the appellant could not be tried alone under conspiracy charges.</w:t>
      </w:r>
    </w:p>
    <w:p>
      <w:pPr>
        <w:pStyle w:val="Heading2"/>
      </w:pPr>
      <w:r>
        <w:t>Final Judgment:</w:t>
      </w:r>
    </w:p>
    <w:p>
      <w:r>
        <w:t>The Supreme Court allowed the appeal, set aside the High Court’s order dated 15.09.2023 and the Special Judge’s order dated 01.06.2010. All proceedings against the appellant-company were quashed. The court held that continuation of prosecution in light of established immunity and absence of liability would amount to abuse of legal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