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Case Summary: Bani Alam Mazid @ Dhan vs The State of Assam (2025)</w:t>
      </w:r>
    </w:p>
    <w:p>
      <w:r>
        <w:t>Case Title: Bani Alam Mazid @ Dhan vs The State of Assam</w:t>
      </w:r>
    </w:p>
    <w:p>
      <w:r>
        <w:t>Citation: 2025 INSC 260</w:t>
      </w:r>
    </w:p>
    <w:p>
      <w:r>
        <w:t>Court: Supreme Court of India</w:t>
      </w:r>
    </w:p>
    <w:p>
      <w:r>
        <w:t>Date of Judgment: 24 February 2025</w:t>
      </w:r>
    </w:p>
    <w:p>
      <w:r>
        <w:t>Bench: Justice Abhay S. Oka, Justice Ujjal Bhuyan</w:t>
      </w:r>
    </w:p>
    <w:p>
      <w:pPr>
        <w:pStyle w:val="Heading2"/>
      </w:pPr>
      <w:r>
        <w:t>Facts of the Case:</w:t>
      </w:r>
    </w:p>
    <w:p>
      <w:r>
        <w:t>- The appellant was accused of kidnapping, murdering, and disposing of the body of a 16-year-old girl, Marjina Begum, with whom he allegedly had a romantic relationship.</w:t>
        <w:br/>
        <w:t>- FIR was lodged four days after the girl went missing, based on family members’ statements and a failed assurance of marriage by the appellant’s family.</w:t>
        <w:br/>
        <w:t>- The dead body was found five days after the victim was last seen with the appellant.</w:t>
        <w:br/>
        <w:t>- The Trial Court convicted the appellant under Sections 366(A), 302, 201, and 34 IPC; the High Court upheld the conviction under Sections 302 and 201 IPC.</w:t>
      </w:r>
    </w:p>
    <w:p>
      <w:pPr>
        <w:pStyle w:val="Heading2"/>
      </w:pPr>
      <w:r>
        <w:t>Procedural History:</w:t>
      </w:r>
    </w:p>
    <w:p>
      <w:r>
        <w:t>- Trial Court convicted appellant under Sections 366(A), 302, 201, and 34 IPC.</w:t>
        <w:br/>
        <w:t>- High Court set aside the conviction under Section 366(A) but upheld convictions under Sections 302 and 201.</w:t>
        <w:br/>
        <w:t>- Appellant filed a criminal appeal before the Supreme Court challenging the conviction.</w:t>
      </w:r>
    </w:p>
    <w:p>
      <w:pPr>
        <w:pStyle w:val="Heading2"/>
      </w:pPr>
      <w:r>
        <w:t>Issues before the Court:</w:t>
      </w:r>
    </w:p>
    <w:p>
      <w:r>
        <w:t>1. Whether the chain of circumstantial evidence was complete to establish guilt beyond reasonable doubt.</w:t>
        <w:br/>
        <w:t>2. Whether the evidence of last seen together and discovery of the body was sufficient for conviction.</w:t>
        <w:br/>
        <w:t>3. Whether the accused had any motive for committing the crime.</w:t>
      </w:r>
    </w:p>
    <w:p>
      <w:pPr>
        <w:pStyle w:val="Heading2"/>
      </w:pPr>
      <w:r>
        <w:t>Judgment:</w:t>
      </w:r>
    </w:p>
    <w:p>
      <w:r>
        <w:t>- Supreme Court allowed the appeal and acquitted the appellant.</w:t>
        <w:br/>
        <w:t>- It held that the chain of circumstantial evidence was incomplete.</w:t>
        <w:br/>
        <w:t>- Extra-judicial confession was inadmissible and discovery evidence was unreliable.</w:t>
      </w:r>
    </w:p>
    <w:p>
      <w:pPr>
        <w:pStyle w:val="Heading2"/>
      </w:pPr>
      <w:r>
        <w:t>Key Legal Findings:</w:t>
      </w:r>
    </w:p>
    <w:p>
      <w:r>
        <w:t>1. Circumstantial Evidence: The Court reiterated that every link in the chain must be proved. One broken link is sufficient to create reasonable doubt.</w:t>
        <w:br/>
        <w:t>2. Last Seen Theory: Significant time gap (5 days) between last seen and discovery weakens reliability. No evidence ruled out third-party involvement.</w:t>
        <w:br/>
        <w:t>3. Leading to Discovery: Inconsistent witness testimonies and absence of credible recovery undermine Section 27 Evidence Act claim.</w:t>
        <w:br/>
        <w:t>4. Lack of Motive: No evidence of motive as the victim and appellant were in a romantic relationship, and marriage was being arranged.</w:t>
        <w:br/>
        <w:t>5. Procedural Lapses: No FSL analysis of seized evidence; failure to examine key witnesses (mother and brother-in-law of appellant) weakened the prosecution case.</w:t>
        <w:br/>
        <w:t>6. Benefit of Doubt: Doubt in prosecution’s version warrants acquittal in criminal jurisprudence.</w:t>
      </w:r>
    </w:p>
    <w:p>
      <w:pPr>
        <w:pStyle w:val="Heading2"/>
      </w:pPr>
      <w:r>
        <w:t>Final Decision:</w:t>
      </w:r>
    </w:p>
    <w:p>
      <w:r>
        <w:t>✅ Appeal allowed</w:t>
        <w:br/>
        <w:t>✅ High Court and Sessions Court judgments set aside</w:t>
        <w:br/>
        <w:t>✅ Appellant acquitted of all charges</w:t>
        <w:br/>
        <w:t>✅ Appellant to be released unless required in another case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