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Care Guideline: Type 2 Diabetes Management</w:t>
      </w:r>
    </w:p>
    <w:p>
      <w:pPr>
        <w:pStyle w:val="Heading1"/>
      </w:pPr>
      <w:r>
        <w:t>Purpose</w:t>
      </w:r>
    </w:p>
    <w:p>
      <w:r>
        <w:t>This patient care guideline establishes the standard of care for outpatient management of adult patients with Type 2 diabetes.</w:t>
      </w:r>
    </w:p>
    <w:p>
      <w:pPr>
        <w:pStyle w:val="Heading1"/>
      </w:pPr>
      <w:r>
        <w:t>Scope</w:t>
      </w:r>
    </w:p>
    <w:p>
      <w:r>
        <w:t>This clinical guideline applies to primary care providers and endocrinology staff across all outpatient clinics.</w:t>
      </w:r>
    </w:p>
    <w:p>
      <w:pPr>
        <w:pStyle w:val="Heading1"/>
      </w:pPr>
      <w:r>
        <w:t>Clinical Recommendations</w:t>
      </w:r>
    </w:p>
    <w:p>
      <w:r>
        <w:t>Providers should target an HbA1c below 7% for most adults, individualized based on comorbidities. Metformin remains the first-line pharmacologic therapy absent contraindication. Evidence-based practice supports annual retinal and nephropathy screening.</w:t>
      </w:r>
    </w:p>
    <w:p>
      <w:pPr>
        <w:pStyle w:val="Heading1"/>
      </w:pPr>
      <w:r>
        <w:t>Monitoring</w:t>
      </w:r>
    </w:p>
    <w:p>
      <w:r>
        <w:t>Patients should have HbA1c reviewed every three months until stable, then every six months. Blood pressure and lipid panels should be reviewed at each visit per the monitoring schedule below.</w:t>
      </w:r>
    </w:p>
    <w:p>
      <w:pPr>
        <w:pStyle w:val="Heading1"/>
      </w:pPr>
      <w:r>
        <w:t>References</w:t>
      </w:r>
    </w:p>
    <w:p>
      <w:r>
        <w:t>American Diabetes Association Standards of Care; internal Clinical Guidelines Committee review, updated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Frequency</w:t>
            </w:r>
          </w:p>
        </w:tc>
      </w:tr>
      <w:tr>
        <w:tc>
          <w:tcPr>
            <w:tcW w:type="dxa" w:w="4320"/>
          </w:tcPr>
          <w:p>
            <w:r>
              <w:t>HbA1c</w:t>
            </w:r>
          </w:p>
        </w:tc>
        <w:tc>
          <w:tcPr>
            <w:tcW w:type="dxa" w:w="4320"/>
          </w:tcPr>
          <w:p>
            <w:r>
              <w:t>Every 3-6 months</w:t>
            </w:r>
          </w:p>
        </w:tc>
      </w:tr>
      <w:tr>
        <w:tc>
          <w:tcPr>
            <w:tcW w:type="dxa" w:w="4320"/>
          </w:tcPr>
          <w:p>
            <w:r>
              <w:t>Blood Pressure</w:t>
            </w:r>
          </w:p>
        </w:tc>
        <w:tc>
          <w:tcPr>
            <w:tcW w:type="dxa" w:w="4320"/>
          </w:tcPr>
          <w:p>
            <w:r>
              <w:t>Every visit</w:t>
            </w:r>
          </w:p>
        </w:tc>
      </w:tr>
      <w:tr>
        <w:tc>
          <w:tcPr>
            <w:tcW w:type="dxa" w:w="4320"/>
          </w:tcPr>
          <w:p>
            <w:r>
              <w:t>Lipid Panel</w:t>
            </w:r>
          </w:p>
        </w:tc>
        <w:tc>
          <w:tcPr>
            <w:tcW w:type="dxa" w:w="4320"/>
          </w:tcPr>
          <w:p>
            <w:r>
              <w:t>Annually</w:t>
            </w:r>
          </w:p>
        </w:tc>
      </w:tr>
      <w:tr>
        <w:tc>
          <w:tcPr>
            <w:tcW w:type="dxa" w:w="4320"/>
          </w:tcPr>
          <w:p>
            <w:r>
              <w:t>Retinal Exam</w:t>
            </w:r>
          </w:p>
        </w:tc>
        <w:tc>
          <w:tcPr>
            <w:tcW w:type="dxa" w:w="4320"/>
          </w:tcPr>
          <w:p>
            <w:r>
              <w:t>Annually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