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Provider Network Agreement</w:t>
      </w:r>
    </w:p>
    <w:p>
      <w:pPr>
        <w:pStyle w:val="Heading1"/>
      </w:pPr>
      <w:r>
        <w:t>Network Participation</w:t>
      </w:r>
    </w:p>
    <w:p>
      <w:r>
        <w:t>This Provider Network Agreement governs Provider's in-network participation status with Meridian Health Partners' commercial and Medicare Advantage panels.</w:t>
      </w:r>
    </w:p>
    <w:p>
      <w:pPr>
        <w:pStyle w:val="Heading1"/>
      </w:pPr>
      <w:r>
        <w:t>Credentialing Requirements</w:t>
      </w:r>
    </w:p>
    <w:p>
      <w:r>
        <w:t>Provider must complete initial credentialing and re-credentialing every thirty-six (36) months, including verification of licensure, board certification, and malpractice coverage.</w:t>
      </w:r>
    </w:p>
    <w:p>
      <w:pPr>
        <w:pStyle w:val="Heading1"/>
      </w:pPr>
      <w:r>
        <w:t>Panel Status</w:t>
      </w:r>
    </w:p>
    <w:p>
      <w:r>
        <w:t>Provider panel status may be designated open or closed based on network adequacy needs determined by the Provider Management team.</w:t>
      </w:r>
    </w:p>
    <w:p>
      <w:pPr>
        <w:pStyle w:val="Heading1"/>
      </w:pPr>
      <w:r>
        <w:t>Term and Renewal</w:t>
      </w:r>
    </w:p>
    <w:p>
      <w:r>
        <w:t>This Agreement renews automatically for successive one-year terms unless either party provides ninety (90) days written notice of non-renewal.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