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i w:val="0"/>
          <w:sz w:val="36"/>
        </w:rPr>
        <w:t>Knowledge-Graph-Governed AI4D as a Continuation of S-Lay Inline Structure Research: An Industrial Structural Design Case Study</w:t>
      </w:r>
    </w:p>
    <w:p>
      <w:r>
        <w:rPr>
          <w:rFonts w:ascii="Times New Roman" w:hAnsi="Times New Roman"/>
          <w:b/>
          <w:i w:val="0"/>
          <w:sz w:val="21"/>
        </w:rPr>
        <w:t>Working manuscript:</w:t>
      </w:r>
      <w:r>
        <w:rPr>
          <w:rFonts w:ascii="Times New Roman" w:hAnsi="Times New Roman"/>
          <w:i w:val="0"/>
          <w:sz w:val="21"/>
        </w:rPr>
        <w:t xml:space="preserve"> Paper 01A, Draft v0.3</w:t>
      </w:r>
    </w:p>
    <w:p>
      <w:r>
        <w:rPr>
          <w:rFonts w:ascii="Times New Roman" w:hAnsi="Times New Roman"/>
          <w:b/>
          <w:i w:val="0"/>
          <w:sz w:val="21"/>
        </w:rPr>
        <w:t>Planned venue:</w:t>
      </w:r>
      <w:r>
        <w:rPr>
          <w:rFonts w:ascii="Times New Roman" w:hAnsi="Times New Roman"/>
          <w:i w:val="0"/>
          <w:sz w:val="21"/>
        </w:rPr>
        <w:t xml:space="preserve"> engrXiv</w:t>
      </w:r>
    </w:p>
    <w:p>
      <w:r>
        <w:rPr>
          <w:rFonts w:ascii="Times New Roman" w:hAnsi="Times New Roman"/>
          <w:b/>
          <w:i w:val="0"/>
          <w:sz w:val="21"/>
        </w:rPr>
        <w:t>Authors:</w:t>
      </w:r>
      <w:r>
        <w:rPr>
          <w:rFonts w:ascii="Times New Roman" w:hAnsi="Times New Roman"/>
          <w:i w:val="0"/>
          <w:sz w:val="21"/>
        </w:rPr>
        <w:t xml:space="preserve"> Sreekanth Manakkattil Sivaraman; Jagannatha Venkataramana Reddy</w:t>
      </w:r>
    </w:p>
    <w:p>
      <w:r>
        <w:rPr>
          <w:rFonts w:ascii="Times New Roman" w:hAnsi="Times New Roman"/>
          <w:b/>
          <w:i w:val="0"/>
          <w:sz w:val="21"/>
        </w:rPr>
        <w:t>Corresponding author:</w:t>
      </w:r>
      <w:r>
        <w:rPr>
          <w:rFonts w:ascii="Times New Roman" w:hAnsi="Times New Roman"/>
          <w:i w:val="0"/>
          <w:sz w:val="21"/>
        </w:rPr>
        <w:t xml:space="preserve"> </w:t>
      </w:r>
      <w:r>
        <w:rPr>
          <w:rFonts w:ascii="Times New Roman" w:hAnsi="Times New Roman"/>
          <w:i w:val="0"/>
          <w:sz w:val="21"/>
          <w:u w:val="single"/>
        </w:rPr>
        <w:t>[TO BE COMPLETED]</w:t>
      </w:r>
    </w:p>
    <w:p>
      <w:r>
        <w:rPr>
          <w:rFonts w:ascii="Times New Roman" w:hAnsi="Times New Roman"/>
          <w:b/>
          <w:i w:val="0"/>
          <w:sz w:val="21"/>
        </w:rPr>
        <w:t>Draft date:</w:t>
      </w:r>
      <w:r>
        <w:rPr>
          <w:rFonts w:ascii="Times New Roman" w:hAnsi="Times New Roman"/>
          <w:i w:val="0"/>
          <w:sz w:val="21"/>
        </w:rPr>
        <w:t xml:space="preserve"> 15 September 2026</w:t>
      </w:r>
    </w:p>
    <w:p>
      <w:pPr>
        <w:ind w:left="360"/>
      </w:pPr>
      <w:r>
        <w:rPr>
          <w:rFonts w:ascii="Times New Roman" w:hAnsi="Times New Roman"/>
          <w:i/>
          <w:sz w:val="21"/>
          <w:u w:val="single"/>
        </w:rPr>
        <w:t>**Draft status.** This is a concise case-study manuscript. It is not yet submission-ready and does not present validated design results. Underlined text marks pending author/originator work.</w:t>
      </w:r>
    </w:p>
    <w:p>
      <w:pPr>
        <w:pStyle w:val="Heading1"/>
      </w:pPr>
      <w:r>
        <w:rPr>
          <w:rFonts w:ascii="Times New Roman" w:hAnsi="Times New Roman"/>
          <w:i w:val="0"/>
          <w:sz w:val="21"/>
        </w:rPr>
        <w:t>Abstract</w:t>
      </w:r>
    </w:p>
    <w:p>
      <w:r>
        <w:rPr>
          <w:rFonts w:ascii="Times New Roman" w:hAnsi="Times New Roman"/>
          <w:i w:val="0"/>
          <w:sz w:val="21"/>
        </w:rPr>
        <w:t>Engineering organizations store reusable design knowledge in drawings, reports, finite-element studies, spreadsheets, review comments, and expert memory. Much of it is difficult to reuse because component identity, assembly topology, load case, assumptions, response location, and design reasoning are not represented as connected records. This paper presents a case study in applying state-of-the-art AI methods to industrial structural design, using subsea inline structures installed by S-lay as the engineering domain. The work is positioned as a continuation of two earlier S-lay inline-structure studies by the authors: those studies generated the engineering evidence base, and the present paper examines how that evidence can be converted into an ontology-grounded, reviewable AI4D workflow for professional engineers. The case study separates component definitions, assembly rules, behavior evidence, current problem representation, deterministic tools, and governed feedback into EDES, EDAS, EDIKB, EDPR, toolchain, and KEL layers. A large language model is used as a constrained language interface; deterministic tools validate, retrieve, build layouts, plot, and report. The paper explains the S-lay inline-structure ontology, FBS-OAM assembly framing, P-map/APF problem representation, hybrid RAG pipeline, and KEL feedback loop. It does not claim final design sizing, code compliance, validated optimization, or replacement of project-specific analysis.</w:t>
      </w:r>
    </w:p>
    <w:p>
      <w:r>
        <w:rPr>
          <w:rFonts w:ascii="Times New Roman" w:hAnsi="Times New Roman"/>
          <w:b/>
          <w:i w:val="0"/>
          <w:sz w:val="21"/>
        </w:rPr>
        <w:t>Keywords:</w:t>
      </w:r>
      <w:r>
        <w:rPr>
          <w:rFonts w:ascii="Times New Roman" w:hAnsi="Times New Roman"/>
          <w:i w:val="0"/>
          <w:sz w:val="21"/>
        </w:rPr>
        <w:t xml:space="preserve"> engineering knowledge management; AI4D; knowledge graph; hybrid RAG; S-lay installation; inline structure; FBS-OAM; P-map; APF; KEL</w:t>
      </w:r>
    </w:p>
    <w:p>
      <w:pPr>
        <w:pStyle w:val="Heading1"/>
      </w:pPr>
      <w:r>
        <w:rPr>
          <w:rFonts w:ascii="Times New Roman" w:hAnsi="Times New Roman"/>
          <w:i w:val="0"/>
          <w:sz w:val="21"/>
        </w:rPr>
        <w:t>1. Introduction</w:t>
      </w:r>
    </w:p>
    <w:p>
      <w:r>
        <w:rPr>
          <w:rFonts w:ascii="Times New Roman" w:hAnsi="Times New Roman"/>
          <w:i w:val="0"/>
          <w:sz w:val="21"/>
        </w:rPr>
        <w:t>This paper is the third step in a continuing research chain on S-lay inline structures. The first two studies developed the domain evidence base for inline-structure concepts and installation response. The present work asks a different question: how can that engineering knowledge be organized so that modern AI methods can help a professional engineer retrieve, reason about, and improve it without hiding the assumptions or bypassing engineering review? Industrial structural design rarely starts from a blank sheet. Engineers reuse previous layouts, installation lessons, analysis reports, review comments, and local practices. For subsea inline structures, that reuse is difficult because design behavior depends on coupled geometry, contact, stiffness, mass, connector behavior, installation boundary conditions, and response location.</w:t>
      </w:r>
    </w:p>
    <w:p>
      <w:r>
        <w:rPr>
          <w:rFonts w:ascii="Times New Roman" w:hAnsi="Times New Roman"/>
          <w:i w:val="0"/>
          <w:sz w:val="21"/>
        </w:rPr>
        <w:t>LLMs make this knowledge easier to query, but fluent text is not engineering validity. An LLM can produce a plausible layout while omitting a required support, applying evidence outside its domain, or drawing a concept that hides a missing association. The practical question is therefore not whether an LLM can answer; it is whether the answer is traceable, evidence-bounded, tool-checkable, and reviewable.</w:t>
      </w:r>
    </w:p>
    <w:p>
      <w:r>
        <w:rPr>
          <w:rFonts w:ascii="Times New Roman" w:hAnsi="Times New Roman"/>
          <w:i w:val="0"/>
          <w:sz w:val="21"/>
        </w:rPr>
        <w:t>The case study treats engineering AI first as knowledge management and governance. The contribution is a layered method that connects an S-lay inline-structure ontology, explicit problem representation, governed retrieval, deterministic layout/plot tools, and a feedback loop for reviewed knowledge evolution. The repository implementation is used as a reproducible vehicle for the case study, while the research contribution is the engineering workflow and knowledge-governance approach that can grow as further evidence, correlation data, and ML models are added.</w:t>
      </w:r>
    </w:p>
    <w:p>
      <w:pPr>
        <w:pStyle w:val="IntenseQuote"/>
      </w:pPr>
      <w:r>
        <w:rPr>
          <w:rFonts w:ascii="Times New Roman" w:hAnsi="Times New Roman"/>
          <w:i/>
          <w:sz w:val="20"/>
        </w:rPr>
        <w:t>[Figure placeholder: workflow diagram to be redrawn or replaced manually.]</w:t>
      </w:r>
    </w:p>
    <w:p>
      <w:r>
        <w:rPr>
          <w:rFonts w:ascii="Consolas" w:hAnsi="Consolas"/>
          <w:sz w:val="17"/>
        </w:rPr>
        <w:t>flowchart LR</w:t>
        <w:br/>
      </w:r>
      <w:r>
        <w:rPr>
          <w:rFonts w:ascii="Consolas" w:hAnsi="Consolas"/>
          <w:sz w:val="17"/>
        </w:rPr>
        <w:t xml:space="preserve">    Q[Human query] --&gt; EDPR[Confirmed EDPR]</w:t>
        <w:br/>
      </w:r>
      <w:r>
        <w:rPr>
          <w:rFonts w:ascii="Consolas" w:hAnsi="Consolas"/>
          <w:sz w:val="17"/>
        </w:rPr>
        <w:t xml:space="preserve">    EDPR --&gt; R[Retrieval + grounding]</w:t>
        <w:br/>
      </w:r>
      <w:r>
        <w:rPr>
          <w:rFonts w:ascii="Consolas" w:hAnsi="Consolas"/>
          <w:sz w:val="17"/>
        </w:rPr>
        <w:t xml:space="preserve">    R --&gt; G[Deterministic gates]</w:t>
        <w:br/>
      </w:r>
      <w:r>
        <w:rPr>
          <w:rFonts w:ascii="Consolas" w:hAnsi="Consolas"/>
          <w:sz w:val="17"/>
        </w:rPr>
        <w:t xml:space="preserve">    G --&gt; L[Layout or explicit gap]</w:t>
        <w:br/>
      </w:r>
      <w:r>
        <w:rPr>
          <w:rFonts w:ascii="Consolas" w:hAnsi="Consolas"/>
          <w:sz w:val="17"/>
        </w:rPr>
        <w:t xml:space="preserve">    L --&gt; P[Plot + report]</w:t>
        <w:br/>
      </w:r>
      <w:r>
        <w:rPr>
          <w:rFonts w:ascii="Consolas" w:hAnsi="Consolas"/>
          <w:sz w:val="17"/>
        </w:rPr>
        <w:t xml:space="preserve">    P --&gt; H[Human review]</w:t>
        <w:br/>
      </w:r>
      <w:r>
        <w:rPr>
          <w:rFonts w:ascii="Consolas" w:hAnsi="Consolas"/>
          <w:sz w:val="17"/>
        </w:rPr>
        <w:t xml:space="preserve">    H --&gt; KEL[KEL if correction is needed]</w:t>
        <w:br/>
      </w:r>
    </w:p>
    <w:p>
      <w:pPr>
        <w:ind w:left="360"/>
      </w:pPr>
      <w:r>
        <w:rPr>
          <w:rFonts w:ascii="Times New Roman" w:hAnsi="Times New Roman"/>
          <w:i/>
          <w:sz w:val="21"/>
          <w:u w:val="single"/>
        </w:rPr>
        <w:t>**Figure 1 production note.** Replace with a publication-quality workflow diagram.</w:t>
      </w:r>
    </w:p>
    <w:p>
      <w:r>
        <w:rPr>
          <w:rFonts w:ascii="Times New Roman" w:hAnsi="Times New Roman"/>
          <w:i w:val="0"/>
          <w:sz w:val="21"/>
        </w:rPr>
        <w:t>The intended reader is a practicing engineer who needs to understand how AI methods are being applied to a familiar structural-design problem. The paper therefore keeps the tool details secondary and presents the repository as an auditable case-study implementation of the research method.</w:t>
      </w:r>
    </w:p>
    <w:p>
      <w:pPr>
        <w:pStyle w:val="Heading1"/>
      </w:pPr>
      <w:r>
        <w:rPr>
          <w:rFonts w:ascii="Times New Roman" w:hAnsi="Times New Roman"/>
          <w:i w:val="0"/>
          <w:sz w:val="21"/>
        </w:rPr>
        <w:t>2. Literature survey</w:t>
      </w:r>
    </w:p>
    <w:p>
      <w:r>
        <w:rPr>
          <w:rFonts w:ascii="Times New Roman" w:hAnsi="Times New Roman"/>
          <w:i w:val="0"/>
          <w:sz w:val="21"/>
        </w:rPr>
        <w:t>The case study combines four bodies of prior work. First, engineering-design AI has long used explicit knowledge representations to separate what a system is, what it does, and why it is needed. Gero's design-prototype work established design knowledge as reusable structure rather than isolated calculation notes [1]. Goel, Rugaber, and Vattam formalized structure-behavior-function modeling for complex engineered systems, giving a useful basis for separating physical objects, behavior, and purpose [2]. For S-lay inline structures, that separation is necessary but incomplete unless assembly features and relations are also represented.</w:t>
      </w:r>
    </w:p>
    <w:p>
      <w:r>
        <w:rPr>
          <w:rFonts w:ascii="Times New Roman" w:hAnsi="Times New Roman"/>
          <w:i w:val="0"/>
          <w:sz w:val="21"/>
        </w:rPr>
        <w:t>Second, assembly representation research provides the language needed to describe connected engineered objects. The NIST Open Assembly Model work represents parts, assembly features, liaisons, positions, orientations, and tolerances [3]. This paper adopts that assembly view for inline-structure concepts: a valve, shroud, branch, base structure, top structure, and connector are not only shapes; they are associated objects with interfaces, positions, orientations, load-transfer roles, and contact responsibilities.</w:t>
      </w:r>
    </w:p>
    <w:p>
      <w:r>
        <w:rPr>
          <w:rFonts w:ascii="Times New Roman" w:hAnsi="Times New Roman"/>
          <w:i w:val="0"/>
          <w:sz w:val="21"/>
        </w:rPr>
        <w:t>Third, design-problem formulation research motivates the EDPR layer. Dinar et al.'s Problem Map framework represents requirements, functions, artifacts, behaviors, and issues as linked problem-formulation records [4]. Automated Problem Formulation work similarly separates the action, product, and function of a request so that an AI system can distinguish designing, validating, comparing, ranking, clarifying, and explaining [5]. In this manuscript, EDPR applies those ideas to a bounded engineering workflow before any layout is generated, so the AI-assisted response starts from a reviewable design basis rather than from an uninspected prompt interpretation.</w:t>
      </w:r>
    </w:p>
    <w:p>
      <w:r>
        <w:rPr>
          <w:rFonts w:ascii="Times New Roman" w:hAnsi="Times New Roman"/>
          <w:i w:val="0"/>
          <w:sz w:val="21"/>
        </w:rPr>
        <w:t>Fourth, recent AI systems motivate retrieval and tool governance, but they do not remove the need for engineering controls. Retrieval-augmented generation showed that language models can combine generated answers with explicit retrieved memory [6]. ReAct and Toolformer showed that language models can coordinate reasoning with external actions or tools [7], [8]. Human-in-the-loop LLM and knowledge-graph design frameworks further support the need for reviewable interaction between human experts, graph records, and generated concepts [9]. This case study uses these ideas conservatively: retrieval supports recall, tools enforce deterministic checks, and KEL records expert-reviewed corrections rather than treating raw model output as design authority.</w:t>
      </w:r>
    </w:p>
    <w:p>
      <w:r>
        <w:rPr>
          <w:rFonts w:ascii="Times New Roman" w:hAnsi="Times New Roman"/>
          <w:i w:val="0"/>
          <w:sz w:val="21"/>
        </w:rPr>
        <w:t>The gap addressed here is therefore practical integration for professional engineering practice. The paper does not introduce a new general FBS, OAM, P-map, APF, or RAG theory. It shows how those ideas can be combined with prior S-lay inline-structure research to form a traceable AI4D case study where component identity, assembly topology, evidence applicability, visualization quality, and feedback governance must be visible to engineering reviewers. The planned next stage is to enrich the evidence base with additional simulation, correlation, and ML-derived knowledge rather than treating the current workflow as complete.</w:t>
      </w:r>
    </w:p>
    <w:p>
      <w:pPr>
        <w:pStyle w:val="Heading1"/>
      </w:pPr>
      <w:r>
        <w:rPr>
          <w:rFonts w:ascii="Times New Roman" w:hAnsi="Times New Roman"/>
          <w:i w:val="0"/>
          <w:sz w:val="21"/>
        </w:rPr>
        <w:t>3. S-lay inline-structure ontology</w:t>
      </w:r>
    </w:p>
    <w:p>
      <w:r>
        <w:rPr>
          <w:rFonts w:ascii="Times New Roman" w:hAnsi="Times New Roman"/>
          <w:i w:val="0"/>
          <w:sz w:val="21"/>
        </w:rPr>
        <w:t>An S-lay inline structure is an interacting assembly, not a single object. It may include header pipe, inline valve or thickened section, branch pipe, top structure, base structure, shroud, connectors, supports, and transitions. During installation, the assembly passes through the firing line and stinger rollers, so local stiffness, elevation, mass, support position, and roller-contact path can affect strain and bending moment.</w:t>
      </w:r>
    </w:p>
    <w:p>
      <w:r>
        <w:rPr>
          <w:rFonts w:ascii="Times New Roman" w:hAnsi="Times New Roman"/>
          <w:i w:val="0"/>
          <w:sz w:val="21"/>
        </w:rPr>
        <w:t xml:space="preserve">The case-study knowledge model uses stable </w:t>
      </w:r>
      <w:r>
        <w:rPr>
          <w:rFonts w:ascii="Consolas" w:hAnsi="Consolas"/>
          <w:i w:val="0"/>
          <w:sz w:val="19"/>
        </w:rPr>
        <w:t>GD-</w:t>
      </w:r>
      <w:r>
        <w:rPr>
          <w:rFonts w:ascii="Times New Roman" w:hAnsi="Times New Roman"/>
          <w:i w:val="0"/>
          <w:sz w:val="21"/>
        </w:rPr>
        <w:t xml:space="preserve"> identifiers so drawings, data records, plots, and validation reports refer to the same objects.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Code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Engineering role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GD-HdPipe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Header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Main pipe and structural/contact reference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GD-BrPipe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Branch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Straight branch segment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Branch assembly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L- or Z-shaped branch topology</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GD-VLV</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Valve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Enlarged stiff component with envelope/contact constraints</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GD-TP</w:t>
            </w:r>
            <w:r>
              <w:rPr>
                <w:rFonts w:ascii="Times New Roman" w:hAnsi="Times New Roman"/>
                <w:i w:val="0"/>
                <w:sz w:val="18"/>
              </w:rPr>
              <w:t xml:space="preserve"> / </w:t>
            </w:r>
            <w:r>
              <w:rPr>
                <w:rFonts w:ascii="Consolas" w:hAnsi="Consolas"/>
                <w:i w:val="0"/>
                <w:sz w:val="16"/>
              </w:rPr>
              <w:t>GD-TT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Thick / tapered thick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Simplified or tapered stiff section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GD-SH</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Shroud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Sloped or protective contact envelope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Top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Support/containment/branch anchoring frame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GD-SB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Base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Lower protection/support, often roller-contact relevant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GD-Con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Connector/support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Load-transfer element</w:t>
            </w:r>
          </w:p>
        </w:tc>
      </w:tr>
    </w:tbl>
    <w:p/>
    <w:p>
      <w:r>
        <w:rPr>
          <w:rFonts w:ascii="Times New Roman" w:hAnsi="Times New Roman"/>
          <w:i w:val="0"/>
          <w:sz w:val="21"/>
        </w:rPr>
        <w:t xml:space="preserve">The source papers used related external-structure notation such as </w:t>
      </w:r>
      <w:r>
        <w:rPr>
          <w:rFonts w:ascii="Consolas" w:hAnsi="Consolas"/>
          <w:i w:val="0"/>
          <w:sz w:val="19"/>
        </w:rPr>
        <w:t>EA-ST</w:t>
      </w:r>
      <w:r>
        <w:rPr>
          <w:rFonts w:ascii="Times New Roman" w:hAnsi="Times New Roman"/>
          <w:i w:val="0"/>
          <w:sz w:val="21"/>
        </w:rPr>
        <w:t xml:space="preserve"> and </w:t>
      </w:r>
      <w:r>
        <w:rPr>
          <w:rFonts w:ascii="Consolas" w:hAnsi="Consolas"/>
          <w:i w:val="0"/>
          <w:sz w:val="19"/>
        </w:rPr>
        <w:t>EA-SB</w:t>
      </w:r>
      <w:r>
        <w:rPr>
          <w:rFonts w:ascii="Times New Roman" w:hAnsi="Times New Roman"/>
          <w:i w:val="0"/>
          <w:sz w:val="21"/>
        </w:rPr>
        <w:t xml:space="preserve">. This manuscript uses unified case-study notation </w:t>
      </w:r>
      <w:r>
        <w:rPr>
          <w:rFonts w:ascii="Consolas" w:hAnsi="Consolas"/>
          <w:i w:val="0"/>
          <w:sz w:val="19"/>
        </w:rPr>
        <w:t>GD-ST</w:t>
      </w:r>
      <w:r>
        <w:rPr>
          <w:rFonts w:ascii="Times New Roman" w:hAnsi="Times New Roman"/>
          <w:i w:val="0"/>
          <w:sz w:val="21"/>
        </w:rPr>
        <w:t xml:space="preserve"> and </w:t>
      </w:r>
      <w:r>
        <w:rPr>
          <w:rFonts w:ascii="Consolas" w:hAnsi="Consolas"/>
          <w:i w:val="0"/>
          <w:sz w:val="19"/>
        </w:rPr>
        <w:t>GD-SB</w:t>
      </w:r>
      <w:r>
        <w:rPr>
          <w:rFonts w:ascii="Times New Roman" w:hAnsi="Times New Roman"/>
          <w:i w:val="0"/>
          <w:sz w:val="21"/>
        </w:rPr>
        <w:t>; the change is terminology only. The underlying S-lay inline-structure evidence base comes from the two source ILT studies listed in the references [10], [11].</w:t>
      </w:r>
    </w:p>
    <w:p>
      <w:r>
        <w:rPr>
          <w:rFonts w:ascii="Times New Roman" w:hAnsi="Times New Roman"/>
          <w:i w:val="0"/>
          <w:sz w:val="21"/>
        </w:rPr>
        <w:t>Associations are as important as components. A branch connector must terminate at a declared feature, not merely appear near a top frame. A base structure may own the roller-contact envelope while the pipeline or valve remains the structural section. These relations must be explicit because they cannot be inferred reliably from drawing proximity.</w:t>
      </w:r>
    </w:p>
    <w:p>
      <w:pPr>
        <w:pStyle w:val="Heading1"/>
      </w:pPr>
      <w:r>
        <w:rPr>
          <w:rFonts w:ascii="Times New Roman" w:hAnsi="Times New Roman"/>
          <w:i w:val="0"/>
          <w:sz w:val="21"/>
        </w:rPr>
        <w:t>4. Knowledge architecture</w:t>
      </w:r>
    </w:p>
    <w:p>
      <w:r>
        <w:rPr>
          <w:rFonts w:ascii="Times New Roman" w:hAnsi="Times New Roman"/>
          <w:i w:val="0"/>
          <w:sz w:val="21"/>
        </w:rPr>
        <w:t>The case-study architecture separates knowledge by responsibility.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Layer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Responsibility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EDES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Component identity, geometry, parameters, interfaces, local constraints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EDAS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Assembly topology, valid layout anchors, associations, contact and section ownership</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EDIKB</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Behavior rules, numeric evidence, uncertainty, guidance, future study candidates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EDPR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Current problem, objectives, constraints, unknowns, retrieval plan, solver intent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Governed tools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Validation, retrieval, solving, layout materialization, plotting, governance stamps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KEL</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Experience, feedback, root cause, expert review, implementation, promotion</w:t>
            </w:r>
          </w:p>
        </w:tc>
      </w:tr>
    </w:tbl>
    <w:p/>
    <w:p>
      <w:r>
        <w:rPr>
          <w:rFonts w:ascii="Times New Roman" w:hAnsi="Times New Roman"/>
          <w:i w:val="0"/>
          <w:sz w:val="21"/>
        </w:rPr>
        <w:t>This separation supports failure diagnosis. A weak output may be caused by problem parsing, component definition, assembly representation, evidence retrieval, evidence applicability, tool execution, visualization, workflow bypass, or missing study data. KEL uses that diagnosis to improve the workflow without turning unreviewed comments into official knowledge.</w:t>
      </w:r>
    </w:p>
    <w:p>
      <w:pPr>
        <w:pStyle w:val="Heading1"/>
      </w:pPr>
      <w:r>
        <w:rPr>
          <w:rFonts w:ascii="Times New Roman" w:hAnsi="Times New Roman"/>
          <w:i w:val="0"/>
          <w:sz w:val="21"/>
        </w:rPr>
        <w:t>5. FBS-OAM for structural assembly knowledge</w:t>
      </w:r>
    </w:p>
    <w:p>
      <w:r>
        <w:rPr>
          <w:rFonts w:ascii="Times New Roman" w:hAnsi="Times New Roman"/>
          <w:i w:val="0"/>
          <w:sz w:val="21"/>
        </w:rPr>
        <w:t>Function-Behavior-Structure (FBS) is useful because inline structures exist to perform functions, produce behavior, and use physical structure [1], [2]. For this domain, FBS alone is not enough because the design object is an assembly. The proposed knowledge model therefore uses an FBS-OAM view: FBS captures function, behavior, and structure; OAM-style concepts make objects, assembly features, associations, positions, orientations, and load-transfer methods explicit [3].</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FBS-OAM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ILS interpretation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Route flow, protect valve, support connector, permit installation,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Strain, moment, contact load, support reaction, stiffness transition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Structure/object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Pipe, valve, branch, shroud, GD-ST, GD-SB, connector, thick section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Assembly feature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Weld end, connector slot, support interface, branch terminal, contact area</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Association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Branch-to-header, branch-to-GD-ST, support-to-pipe, valve-to-protection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Position/orientation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L branch, Z branch, horizontal/vertical terminal, valve station, connector spacing</w:t>
            </w:r>
          </w:p>
        </w:tc>
      </w:tr>
    </w:tbl>
    <w:p/>
    <w:p>
      <w:r>
        <w:rPr>
          <w:rFonts w:ascii="Times New Roman" w:hAnsi="Times New Roman"/>
          <w:i w:val="0"/>
          <w:sz w:val="21"/>
        </w:rPr>
        <w:t>This matters because structural behavior is driven by interactions. A header valve and a branch valve trigger different support logic. A shroud around a stiff component is not only a cover; it changes contact and stiffness behavior. A connector system may reduce one local issue while increasing stiffness elsewhere.</w:t>
      </w:r>
    </w:p>
    <w:p>
      <w:pPr>
        <w:pStyle w:val="Heading1"/>
      </w:pPr>
      <w:r>
        <w:rPr>
          <w:rFonts w:ascii="Times New Roman" w:hAnsi="Times New Roman"/>
          <w:i w:val="0"/>
          <w:sz w:val="21"/>
        </w:rPr>
        <w:t>6. EDPR, P-map, and APF</w:t>
      </w:r>
    </w:p>
    <w:p>
      <w:r>
        <w:rPr>
          <w:rFonts w:ascii="Times New Roman" w:hAnsi="Times New Roman"/>
          <w:i w:val="0"/>
          <w:sz w:val="21"/>
        </w:rPr>
        <w:t>Natural-language design requests are compact but ambiguous. A request for an ILT with a vertical connector, valve, and minimum strain includes product intent, topology clues, component requirements, objectives, missing assumptions, and evidence needs. EDPR is the problem-instance layer that turns such a request into a reviewable design basis.</w:t>
      </w:r>
    </w:p>
    <w:p>
      <w:r>
        <w:rPr>
          <w:rFonts w:ascii="Times New Roman" w:hAnsi="Times New Roman"/>
          <w:i w:val="0"/>
          <w:sz w:val="21"/>
        </w:rPr>
        <w:t>P-map records the current problem state: requirements, artifacts, behaviors, issues, and links [4]. APF separates the action, product, and function so that the system knows whether it is designing, comparing, ranking, validating, explaining, or asking for clarification [5].</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Framework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in an ILS request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APF action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design, compare, rank, validate, explain, clarify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APF product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ILT layout, valve protection concept, branch assembly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APF 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route flow, protect valve, support connector,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P-map artifact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GD-B</w:t>
            </w:r>
            <w:r>
              <w:rPr>
                <w:rFonts w:ascii="Times New Roman" w:hAnsi="Times New Roman"/>
                <w:i w:val="0"/>
                <w:sz w:val="18"/>
              </w:rPr>
              <w:t xml:space="preserve">, </w:t>
            </w:r>
            <w:r>
              <w:rPr>
                <w:rFonts w:ascii="Consolas" w:hAnsi="Consolas"/>
                <w:i w:val="0"/>
                <w:sz w:val="16"/>
              </w:rPr>
              <w:t>GD-ST</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xml:space="preserve">, </w:t>
            </w:r>
            <w:r>
              <w:rPr>
                <w:rFonts w:ascii="Consolas" w:hAnsi="Consolas"/>
                <w:i w:val="0"/>
                <w:sz w:val="16"/>
              </w:rPr>
              <w:t>GD-VLV</w:t>
            </w:r>
            <w:r>
              <w:rPr>
                <w:rFonts w:ascii="Times New Roman" w:hAnsi="Times New Roman"/>
                <w:i w:val="0"/>
                <w:sz w:val="18"/>
              </w:rPr>
              <w:t xml:space="preserve">, </w:t>
            </w:r>
            <w:r>
              <w:rPr>
                <w:rFonts w:ascii="Consolas" w:hAnsi="Consolas"/>
                <w:i w:val="0"/>
                <w:sz w:val="16"/>
              </w:rPr>
              <w:t>ILT-Z-*</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P-map 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peak strain, bending moment, contact load, support stiffness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P-map issue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missing roller geometry, unresolved topology, weak evidence</w:t>
            </w:r>
          </w:p>
        </w:tc>
      </w:tr>
    </w:tbl>
    <w:p/>
    <w:p>
      <w:r>
        <w:rPr>
          <w:rFonts w:ascii="Times New Roman" w:hAnsi="Times New Roman"/>
          <w:i w:val="0"/>
          <w:sz w:val="21"/>
        </w:rPr>
        <w:t>The governed workflow requires EDPR confirmation before layout generation. In engineering terms, this is a design-basis check before calculation or drawing.</w:t>
      </w:r>
    </w:p>
    <w:p>
      <w:pPr>
        <w:pStyle w:val="Heading1"/>
      </w:pPr>
      <w:r>
        <w:rPr>
          <w:rFonts w:ascii="Times New Roman" w:hAnsi="Times New Roman"/>
          <w:i w:val="0"/>
          <w:sz w:val="21"/>
        </w:rPr>
        <w:t>7. Hybrid RAG pipeline</w:t>
      </w:r>
    </w:p>
    <w:p>
      <w:r>
        <w:rPr>
          <w:rFonts w:ascii="Times New Roman" w:hAnsi="Times New Roman"/>
          <w:i w:val="0"/>
          <w:sz w:val="21"/>
        </w:rPr>
        <w:t xml:space="preserve">Symbolic records are necessary for engineering authority, but exact keyword matching is not enough. Engineers may say "strongback" when the case-study ontology term is </w:t>
      </w:r>
      <w:r>
        <w:rPr>
          <w:rFonts w:ascii="Consolas" w:hAnsi="Consolas"/>
          <w:i w:val="0"/>
          <w:sz w:val="19"/>
        </w:rPr>
        <w:t>GD-ST</w:t>
      </w:r>
      <w:r>
        <w:rPr>
          <w:rFonts w:ascii="Times New Roman" w:hAnsi="Times New Roman"/>
          <w:i w:val="0"/>
          <w:sz w:val="21"/>
        </w:rPr>
        <w:t xml:space="preserve">, or "valve cannot ride rollers" when the grounded meaning includes </w:t>
      </w:r>
      <w:r>
        <w:rPr>
          <w:rFonts w:ascii="Consolas" w:hAnsi="Consolas"/>
          <w:i w:val="0"/>
          <w:sz w:val="19"/>
        </w:rPr>
        <w:t>GD-VLV</w:t>
      </w:r>
      <w:r>
        <w:rPr>
          <w:rFonts w:ascii="Times New Roman" w:hAnsi="Times New Roman"/>
          <w:i w:val="0"/>
          <w:sz w:val="21"/>
        </w:rPr>
        <w:t xml:space="preserve">, </w:t>
      </w:r>
      <w:r>
        <w:rPr>
          <w:rFonts w:ascii="Consolas" w:hAnsi="Consolas"/>
          <w:i w:val="0"/>
          <w:sz w:val="19"/>
        </w:rPr>
        <w:t>GD-SB</w:t>
      </w:r>
      <w:r>
        <w:rPr>
          <w:rFonts w:ascii="Times New Roman" w:hAnsi="Times New Roman"/>
          <w:i w:val="0"/>
          <w:sz w:val="21"/>
        </w:rPr>
        <w:t>, roller-contact limits, missing roller geometry, moment evidence, and prior KEL lessons.</w:t>
      </w:r>
    </w:p>
    <w:p>
      <w:r>
        <w:rPr>
          <w:rFonts w:ascii="Times New Roman" w:hAnsi="Times New Roman"/>
          <w:i w:val="0"/>
          <w:sz w:val="21"/>
        </w:rPr>
        <w:t>Hybrid RAG is used as semantic recall, not as final authority [6]. The related tool-use literature supports the idea that language models can coordinate external actions, but in this case study those actions remain gated by deterministic engineering checks [7], [8].</w:t>
      </w:r>
    </w:p>
    <w:p>
      <w:pPr>
        <w:pStyle w:val="IntenseQuote"/>
      </w:pPr>
      <w:r>
        <w:rPr>
          <w:rFonts w:ascii="Times New Roman" w:hAnsi="Times New Roman"/>
          <w:i/>
          <w:sz w:val="20"/>
        </w:rPr>
        <w:t>[Figure placeholder: workflow diagram to be redrawn or replaced manually.]</w:t>
      </w:r>
    </w:p>
    <w:p>
      <w:r>
        <w:rPr>
          <w:rFonts w:ascii="Consolas" w:hAnsi="Consolas"/>
          <w:sz w:val="17"/>
        </w:rPr>
        <w:t>flowchart TD</w:t>
        <w:br/>
      </w:r>
      <w:r>
        <w:rPr>
          <w:rFonts w:ascii="Consolas" w:hAnsi="Consolas"/>
          <w:sz w:val="17"/>
        </w:rPr>
        <w:t xml:space="preserve">    A[Human query] --&gt; B[Vector / lexical retrieval]</w:t>
        <w:br/>
      </w:r>
      <w:r>
        <w:rPr>
          <w:rFonts w:ascii="Consolas" w:hAnsi="Consolas"/>
          <w:sz w:val="17"/>
        </w:rPr>
        <w:t xml:space="preserve">    B --&gt; C[Candidate records]</w:t>
        <w:br/>
      </w:r>
      <w:r>
        <w:rPr>
          <w:rFonts w:ascii="Consolas" w:hAnsi="Consolas"/>
          <w:sz w:val="17"/>
        </w:rPr>
        <w:t xml:space="preserve">    C --&gt; D[Symbolic grounding]</w:t>
        <w:br/>
      </w:r>
      <w:r>
        <w:rPr>
          <w:rFonts w:ascii="Consolas" w:hAnsi="Consolas"/>
          <w:sz w:val="17"/>
        </w:rPr>
        <w:t xml:space="preserve">    D --&gt; E[Schema, evidence, and design gates]</w:t>
        <w:br/>
      </w:r>
      <w:r>
        <w:rPr>
          <w:rFonts w:ascii="Consolas" w:hAnsi="Consolas"/>
          <w:sz w:val="17"/>
        </w:rPr>
        <w:t xml:space="preserve">    E --&gt; F[Governed output or explicit gap]</w:t>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Phrase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Candidate grounding</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strongback / top frame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GD-ST</w:t>
            </w:r>
            <w:r>
              <w:rPr>
                <w:rFonts w:ascii="Times New Roman" w:hAnsi="Times New Roman"/>
                <w:i w:val="0"/>
                <w:sz w:val="18"/>
              </w:rPr>
              <w:t>, top-structure associations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base frame / roller 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GD-SB</w:t>
            </w:r>
            <w:r>
              <w:rPr>
                <w:rFonts w:ascii="Times New Roman" w:hAnsi="Times New Roman"/>
                <w:i w:val="0"/>
                <w:sz w:val="18"/>
              </w:rPr>
              <w:t>, valve/base protection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valve cannot ride rollers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GD-VLV</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missing clearance/load inputs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vertical connector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Consolas" w:hAnsi="Consolas"/>
                <w:i w:val="0"/>
                <w:sz w:val="16"/>
              </w:rPr>
              <w:t>GD-B.variant = Z</w:t>
            </w:r>
            <w:r>
              <w:rPr>
                <w:rFonts w:ascii="Times New Roman" w:hAnsi="Times New Roman"/>
                <w:i w:val="0"/>
                <w:sz w:val="18"/>
              </w:rPr>
              <w:t xml:space="preserve">, </w:t>
            </w:r>
            <w:r>
              <w:rPr>
                <w:rFonts w:ascii="Consolas" w:hAnsi="Consolas"/>
                <w:i w:val="0"/>
                <w:sz w:val="16"/>
              </w:rPr>
              <w:t>ILT-Z-*</w:t>
            </w:r>
            <w:r>
              <w:rPr>
                <w:rFonts w:ascii="Times New Roman" w:hAnsi="Times New Roman"/>
                <w:i w:val="0"/>
                <w:sz w:val="18"/>
              </w:rPr>
              <w:t>, branch-to-GD-ST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similar past mistake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KEL root-cause records and implemented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is this optimized?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EDIKB evidence, future-study/correlation-gap records</w:t>
            </w:r>
          </w:p>
        </w:tc>
      </w:tr>
    </w:tbl>
    <w:p/>
    <w:p>
      <w:r>
        <w:rPr>
          <w:rFonts w:ascii="Times New Roman" w:hAnsi="Times New Roman"/>
          <w:i w:val="0"/>
          <w:sz w:val="21"/>
        </w:rPr>
        <w:t>A semantically similar paragraph becomes useful only after grounding, evidence checking, and governance. The target is hybrid RAG for recall, symbolic grounding for engineering meaning, deterministic gates for validity, and KEL for loophole detection.</w:t>
      </w:r>
    </w:p>
    <w:p>
      <w:pPr>
        <w:pStyle w:val="Heading1"/>
      </w:pPr>
      <w:r>
        <w:rPr>
          <w:rFonts w:ascii="Times New Roman" w:hAnsi="Times New Roman"/>
          <w:i w:val="0"/>
          <w:sz w:val="21"/>
        </w:rPr>
        <w:t>8. Governed workflow and KEL</w:t>
      </w:r>
    </w:p>
    <w:p>
      <w:r>
        <w:rPr>
          <w:rFonts w:ascii="Times New Roman" w:hAnsi="Times New Roman"/>
          <w:i w:val="0"/>
          <w:sz w:val="21"/>
        </w:rPr>
        <w:t xml:space="preserve">In the repository implementation, the authoritative design entry point is </w:t>
      </w:r>
      <w:r>
        <w:rPr>
          <w:rFonts w:ascii="Consolas" w:hAnsi="Consolas"/>
          <w:i w:val="0"/>
          <w:sz w:val="19"/>
        </w:rPr>
        <w:t>tools/run_design_workflow.py</w:t>
      </w:r>
      <w:r>
        <w:rPr>
          <w:rFonts w:ascii="Times New Roman" w:hAnsi="Times New Roman"/>
          <w:i w:val="0"/>
          <w:sz w:val="21"/>
        </w:rPr>
        <w:t>. Lower-level tools validate EDPR, retrieve context, solve, materialize layouts, plot, and package review artifacts. A direct plot or lower-level output is not authoritative unless it passes through the governed workflow and receives the required design-governance stamp. This implementation detail is included to make the case study reproducible; the broader principle is that AI-assisted structural design must use a controlled workflow rather than isolated prompt responses.</w:t>
      </w:r>
    </w:p>
    <w:p>
      <w:r>
        <w:rPr>
          <w:rFonts w:ascii="Times New Roman" w:hAnsi="Times New Roman"/>
          <w:i w:val="0"/>
          <w:sz w:val="21"/>
        </w:rPr>
        <w:t>The workflow is:</w:t>
      </w:r>
    </w:p>
    <w:p>
      <w:pPr>
        <w:pStyle w:val="ListNumber"/>
      </w:pPr>
      <w:r>
        <w:rPr>
          <w:rFonts w:ascii="Times New Roman" w:hAnsi="Times New Roman"/>
          <w:i w:val="0"/>
          <w:sz w:val="21"/>
        </w:rPr>
        <w:t>confirm EDPR problem understanding;</w:t>
      </w:r>
    </w:p>
    <w:p>
      <w:pPr>
        <w:pStyle w:val="ListNumber"/>
      </w:pPr>
      <w:r>
        <w:rPr>
          <w:rFonts w:ascii="Times New Roman" w:hAnsi="Times New Roman"/>
          <w:i w:val="0"/>
          <w:sz w:val="21"/>
        </w:rPr>
        <w:t>retrieve and ground EDES, EDAS, EDIKB, KEL, and relevant documents;</w:t>
      </w:r>
    </w:p>
    <w:p>
      <w:pPr>
        <w:pStyle w:val="ListNumber"/>
      </w:pPr>
      <w:r>
        <w:rPr>
          <w:rFonts w:ascii="Times New Roman" w:hAnsi="Times New Roman"/>
          <w:i w:val="0"/>
          <w:sz w:val="21"/>
        </w:rPr>
        <w:t>check topology, evidence, support/protection, and plot/report gates;</w:t>
      </w:r>
    </w:p>
    <w:p>
      <w:pPr>
        <w:pStyle w:val="ListNumber"/>
      </w:pPr>
      <w:r>
        <w:rPr>
          <w:rFonts w:ascii="Times New Roman" w:hAnsi="Times New Roman"/>
          <w:i w:val="0"/>
          <w:sz w:val="21"/>
        </w:rPr>
        <w:t>emit an EDAS-compatible layout, explicit gap, or request for missing information;</w:t>
      </w:r>
    </w:p>
    <w:p>
      <w:pPr>
        <w:pStyle w:val="ListNumber"/>
      </w:pPr>
      <w:r>
        <w:rPr>
          <w:rFonts w:ascii="Times New Roman" w:hAnsi="Times New Roman"/>
          <w:i w:val="0"/>
          <w:sz w:val="21"/>
        </w:rPr>
        <w:t>generate a reviewable plot and machine-readable report;</w:t>
      </w:r>
    </w:p>
    <w:p>
      <w:pPr>
        <w:pStyle w:val="ListNumber"/>
      </w:pPr>
      <w:r>
        <w:rPr>
          <w:rFonts w:ascii="Times New Roman" w:hAnsi="Times New Roman"/>
          <w:i w:val="0"/>
          <w:sz w:val="21"/>
        </w:rPr>
        <w:t>capture feedback through KEL when correction or learning is needed.</w:t>
      </w:r>
    </w:p>
    <w:p>
      <w:r>
        <w:rPr>
          <w:rFonts w:ascii="Times New Roman" w:hAnsi="Times New Roman"/>
          <w:i w:val="0"/>
          <w:sz w:val="21"/>
        </w:rPr>
        <w:t>KEL records the experience, feedback, root cause, expert decision, implementation evidence, and promotion state. Its human-review role is consistent with recent human-in-the-loop LLM and knowledge-graph design work, but KEL adds lifecycle control for lessons and graph evolution [9]. Recent KEL work showed that root cause must be captured per implemented candidate. The same visible error can arise from missed retrieval, missing EDAS rule, insufficient EDIKB evidence, plot-report weakness, or workflow bypass.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Experience class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Principle captured</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EDPR not shown before design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Confirm problem understanding before concept generation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Header valve without support/protection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Apply explicit GD-SB/protection logic where applicable</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Branch connector outside GD-ST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 xml:space="preserve">Every </w:t>
            </w:r>
            <w:r>
              <w:rPr>
                <w:rFonts w:ascii="Consolas" w:hAnsi="Consolas"/>
                <w:i w:val="0"/>
                <w:sz w:val="16"/>
              </w:rPr>
              <w:t>GD-B</w:t>
            </w:r>
            <w:r>
              <w:rPr>
                <w:rFonts w:ascii="Times New Roman" w:hAnsi="Times New Roman"/>
                <w:i w:val="0"/>
                <w:sz w:val="18"/>
              </w:rPr>
              <w:t xml:space="preserve"> branch needs declared </w:t>
            </w:r>
            <w:r>
              <w:rPr>
                <w:rFonts w:ascii="Consolas" w:hAnsi="Consolas"/>
                <w:i w:val="0"/>
                <w:sz w:val="16"/>
              </w:rPr>
              <w:t>GD-ST</w:t>
            </w:r>
            <w:r>
              <w:rPr>
                <w:rFonts w:ascii="Times New Roman" w:hAnsi="Times New Roman"/>
                <w:i w:val="0"/>
                <w:sz w:val="18"/>
              </w:rPr>
              <w:t xml:space="preserve">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Evidence available but missed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Retrieve EDIKB/KEL evidence and limitations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Plot visibility failure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Treat plot readability/report completeness as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Missing correlation data</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Create future-study candidates, not optimization claims</w:t>
            </w:r>
          </w:p>
        </w:tc>
      </w:tr>
    </w:tbl>
    <w:p/>
    <w:p>
      <w:pPr>
        <w:pStyle w:val="Heading1"/>
      </w:pPr>
      <w:r>
        <w:rPr>
          <w:rFonts w:ascii="Times New Roman" w:hAnsi="Times New Roman"/>
          <w:i w:val="0"/>
          <w:sz w:val="21"/>
        </w:rPr>
        <w:t>9. Controlled examples template</w:t>
      </w:r>
    </w:p>
    <w:p>
      <w:r>
        <w:rPr>
          <w:rFonts w:ascii="Times New Roman" w:hAnsi="Times New Roman"/>
          <w:i w:val="0"/>
          <w:sz w:val="21"/>
          <w:u w:val="single"/>
        </w:rPr>
        <w:t>**Originator note.** Add only controlled examples after prompts, tool versions, artifacts, reviewer notes, KEL records, root-cause analysis, knowledge updates, and future-study candidates are frozen.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Item</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3</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Prompt + confirmed 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Response + follow-up prompts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Plot/report artifacts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KEL + RCA + KB/tool update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ML/correlation/future-study candidate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rPr>
              <w:t>Reviewer conclusion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rFonts w:ascii="Times New Roman" w:hAnsi="Times New Roman"/>
                <w:i w:val="0"/>
                <w:sz w:val="18"/>
                <w:u w:val="single"/>
              </w:rPr>
              <w:t>TBD</w:t>
            </w:r>
          </w:p>
        </w:tc>
      </w:tr>
    </w:tbl>
    <w:p/>
    <w:p>
      <w:r>
        <w:rPr>
          <w:rFonts w:ascii="Times New Roman" w:hAnsi="Times New Roman"/>
          <w:i w:val="0"/>
          <w:sz w:val="21"/>
        </w:rPr>
        <w:t>Reviewers should score requirement fidelity, topology validity, evidence precision, traceability, plot readability, appropriate clarification/refusal, KEL traceability, and future-study handling.</w:t>
      </w:r>
    </w:p>
    <w:p>
      <w:pPr>
        <w:pStyle w:val="Heading1"/>
      </w:pPr>
      <w:r>
        <w:rPr>
          <w:rFonts w:ascii="Times New Roman" w:hAnsi="Times New Roman"/>
          <w:i w:val="0"/>
          <w:sz w:val="21"/>
        </w:rPr>
        <w:t>10. Adoption, limitations, and development path</w:t>
      </w:r>
    </w:p>
    <w:p>
      <w:r>
        <w:rPr>
          <w:rFonts w:ascii="Times New Roman" w:hAnsi="Times New Roman"/>
          <w:i w:val="0"/>
          <w:sz w:val="21"/>
        </w:rPr>
        <w:t>An organization should begin with a bounded use case: read-only retrieval, evidence tracing, EDPR drafting, governed plotting, and feedback capture. EDES should be owned by component specialists, EDAS by layout engineers, EDIKB by analysis specialists, EDPR by project engineering, and KEL lifecycle by a governance role.</w:t>
      </w:r>
    </w:p>
    <w:p>
      <w:r>
        <w:rPr>
          <w:rFonts w:ascii="Times New Roman" w:hAnsi="Times New Roman"/>
          <w:i w:val="0"/>
          <w:sz w:val="21"/>
        </w:rPr>
        <w:t>The current case-study implementation supports conceptual reasoning and evidence tracing. It does not perform final sizing, direct structural verification, fatigue assessment, fabrication approval, installation approval, or code compliance. The solver is first-pass and evidence-scoped. The EDIKB is bounded by the two source studies and curated case-study records. The vector index is a first-pass retrieval layer, not a validated production semantic search system.</w:t>
      </w:r>
    </w:p>
    <w:p>
      <w:r>
        <w:rPr>
          <w:rFonts w:ascii="Times New Roman" w:hAnsi="Times New Roman"/>
          <w:i w:val="0"/>
          <w:sz w:val="21"/>
        </w:rPr>
        <w:t>Future work should complete the R7/R8 claim-to-evidence matrix, run three controlled examples, archive EDPR/retrieval/solution/layout/plot/KEL artifacts, expand EDIKB with reviewed evidence and uncertainty metadata, and use future-study candidates to plan parametric FEA, correlation studies, and bounded surrogate models. In this sense, the paper is not the end point of the research chain; it is the transition from manually interpreted ILS evidence to an AI-assisted knowledge system that can later absorb ML-derived correlations.</w:t>
      </w:r>
    </w:p>
    <w:p>
      <w:pPr>
        <w:pStyle w:val="Heading1"/>
      </w:pPr>
      <w:r>
        <w:rPr>
          <w:rFonts w:ascii="Times New Roman" w:hAnsi="Times New Roman"/>
          <w:i w:val="0"/>
          <w:sz w:val="21"/>
        </w:rPr>
        <w:t>11. Conclusions</w:t>
      </w:r>
    </w:p>
    <w:p>
      <w:r>
        <w:rPr>
          <w:rFonts w:ascii="Times New Roman" w:hAnsi="Times New Roman"/>
          <w:i w:val="0"/>
          <w:sz w:val="21"/>
        </w:rPr>
        <w:t>This case study frames engineering AI as governed knowledge work. The LLM interprets language, proposes problem records, plans retrieval, and explains results. The implementation defines components, assemblies, evidence, gates, plots, feedback records, and lifecycle controls. Engineers confirm intent, judge evidence applicability, approve knowledge changes, and retain responsibility for project verification.</w:t>
      </w:r>
    </w:p>
    <w:p>
      <w:r>
        <w:rPr>
          <w:rFonts w:ascii="Times New Roman" w:hAnsi="Times New Roman"/>
          <w:i w:val="0"/>
          <w:sz w:val="21"/>
        </w:rPr>
        <w:t>For S-lay inline structures, the design object is an interacting assembly. Component identity, topology, connection systems, support/protection assumptions, behavior evidence, and response limits must be explicit before an AI-assisted recommendation can be trusted. The future path continues the original ILS research programme: governed knowledge graphs plus hybrid retrieval, symbolic grounding, deterministic tools, KEL root-cause learning, parametric studies, uncertainty-aware ML, and engineering review.</w:t>
      </w:r>
    </w:p>
    <w:p>
      <w:pPr>
        <w:pStyle w:val="Heading1"/>
      </w:pPr>
      <w:r>
        <w:rPr>
          <w:rFonts w:ascii="Times New Roman" w:hAnsi="Times New Roman"/>
          <w:i w:val="0"/>
          <w:sz w:val="21"/>
        </w:rPr>
        <w:t>Data, Software, and Reproducibility Statement</w:t>
      </w:r>
    </w:p>
    <w:p>
      <w:r>
        <w:rPr>
          <w:rFonts w:ascii="Times New Roman" w:hAnsi="Times New Roman"/>
          <w:i w:val="0"/>
          <w:sz w:val="21"/>
        </w:rPr>
        <w:t>The case-study repository used to make the workflow reproducible is available at:</w:t>
      </w:r>
    </w:p>
    <w:p>
      <w:r>
        <w:rPr>
          <w:rFonts w:ascii="Times New Roman" w:hAnsi="Times New Roman"/>
          <w:i w:val="0"/>
          <w:sz w:val="21"/>
        </w:rPr>
        <w:t>https://github.com/sreekx007/Slay-ILS-Designer-V1.0</w:t>
      </w:r>
    </w:p>
    <w:p>
      <w:r>
        <w:rPr>
          <w:rFonts w:ascii="Times New Roman" w:hAnsi="Times New Roman"/>
          <w:i w:val="0"/>
          <w:sz w:val="21"/>
        </w:rPr>
        <w:t xml:space="preserve">The reviewed source PDFs are not redistributed. Bibliographic records, checksums, and EDIKB source-family mappings identify the reviewed copies. </w:t>
      </w:r>
      <w:r>
        <w:rPr>
          <w:rFonts w:ascii="Times New Roman" w:hAnsi="Times New Roman"/>
          <w:i w:val="0"/>
          <w:sz w:val="21"/>
          <w:u w:val="single"/>
        </w:rPr>
        <w:t>Generated run artifacts, controlled examples, and release tags should be frozen before submission.</w:t>
      </w:r>
    </w:p>
    <w:p>
      <w:pPr>
        <w:pStyle w:val="Heading1"/>
      </w:pPr>
      <w:r>
        <w:rPr>
          <w:rFonts w:ascii="Times New Roman" w:hAnsi="Times New Roman"/>
          <w:i w:val="0"/>
          <w:sz w:val="21"/>
        </w:rPr>
        <w:t>AI-Assistance Statement</w:t>
      </w:r>
    </w:p>
    <w:p>
      <w:r>
        <w:rPr>
          <w:rFonts w:ascii="Times New Roman" w:hAnsi="Times New Roman"/>
          <w:i w:val="0"/>
          <w:sz w:val="21"/>
        </w:rPr>
        <w:t>AI assistance was used to organize, draft, and revise this manuscript. The named authors remain responsible for verifying every citation, engineering statement, numerical value, figure, interpretation, and final submission. AI-generated text and diagrams are not treated as engineering evidence.</w:t>
      </w:r>
    </w:p>
    <w:p>
      <w:pPr>
        <w:pStyle w:val="Heading1"/>
      </w:pPr>
      <w:r>
        <w:rPr>
          <w:rFonts w:ascii="Times New Roman" w:hAnsi="Times New Roman"/>
          <w:i w:val="0"/>
          <w:sz w:val="21"/>
        </w:rPr>
        <w:t>References</w:t>
      </w:r>
    </w:p>
    <w:p>
      <w:r>
        <w:rPr>
          <w:rFonts w:ascii="Times New Roman" w:hAnsi="Times New Roman"/>
          <w:i w:val="0"/>
          <w:sz w:val="21"/>
        </w:rPr>
        <w:t>[1] J. S. Gero, "Design Prototypes: A Knowledge Representation Schema for Design," AI Magazine, vol. 11, no. 4, pp. 26-36, 1990. doi:10.1609/aimag.v11i4.854.</w:t>
      </w:r>
    </w:p>
    <w:p>
      <w:r>
        <w:rPr>
          <w:rFonts w:ascii="Times New Roman" w:hAnsi="Times New Roman"/>
          <w:i w:val="0"/>
          <w:sz w:val="21"/>
        </w:rPr>
        <w:t>[2] A. K. Goel, S. Rugaber, and S. Vattam, "Structure, Behavior, and Function of Complex Systems: The Structure-Behavior-Function Modeling Language," AI EDAM, vol. 23, no. 1, pp. 23-35, 2009. doi:10.1017/S0890060409000080.</w:t>
      </w:r>
    </w:p>
    <w:p>
      <w:r>
        <w:rPr>
          <w:rFonts w:ascii="Times New Roman" w:hAnsi="Times New Roman"/>
          <w:i w:val="0"/>
          <w:sz w:val="21"/>
        </w:rPr>
        <w:t>[3] X. Fiorentini, I. Gambino, V. C. Liang, S. Foufou, S. Rachuri, M. Mani, and C. E. Bock, "An Ontology for Assembly Representation," NISTIR 7436, National Institute of Standards and Technology, 2007. doi:10.6028/NIST.IR.7436.</w:t>
      </w:r>
    </w:p>
    <w:p>
      <w:r>
        <w:rPr>
          <w:rFonts w:ascii="Times New Roman" w:hAnsi="Times New Roman"/>
          <w:i w:val="0"/>
          <w:sz w:val="21"/>
        </w:rPr>
        <w:t>[4] M. Dinar, A. Danielescu, C. MacLellan, J. J. Shah, and P. Langley, "Problem Map: An Ontological Framework for a Computational Study of Problem Formulation in Engineering Design," Journal of Computing and Information Science in Engineering, vol. 15, no. 3, 031007, 2015. doi:10.1115/1.4030076.</w:t>
      </w:r>
    </w:p>
    <w:p>
      <w:r>
        <w:rPr>
          <w:rFonts w:ascii="Times New Roman" w:hAnsi="Times New Roman"/>
          <w:i w:val="0"/>
          <w:sz w:val="21"/>
        </w:rPr>
        <w:t>[5] Y. Li, H. Wang, B. Xue, M. Zhang, and Y. Jin, "Solver-Independent Automated Problem Formulation via LLMs for High-Cost Simulation-Driven Design," Findings of the Association for Computational Linguistics: ACL 2026, pp. 2138-2153, 2026. doi:10.18653/v1/2026.findings-acl.102.</w:t>
      </w:r>
    </w:p>
    <w:p>
      <w:r>
        <w:rPr>
          <w:rFonts w:ascii="Times New Roman" w:hAnsi="Times New Roman"/>
          <w:i w:val="0"/>
          <w:sz w:val="21"/>
        </w:rPr>
        <w:t>[6] P. Lewis, E. Perez, A. Piktus, F. Petroni, V. Karpukhin, N. Goyal, H. Kuttler, M. Lewis, W.-T. Yih, T. Rocktaschel, S. Riedel, and D. Kiela, "Retrieval-Augmented Generation for Knowledge-Intensive NLP Tasks," Advances in Neural Information Processing Systems, 2020. doi:10.48550/arXiv.2005.11401.</w:t>
      </w:r>
    </w:p>
    <w:p>
      <w:r>
        <w:rPr>
          <w:rFonts w:ascii="Times New Roman" w:hAnsi="Times New Roman"/>
          <w:i w:val="0"/>
          <w:sz w:val="21"/>
        </w:rPr>
        <w:t>[7] S. Yao, J. Zhao, D. Yu, N. Du, I. Shafran, K. R. Narasimhan, and Y. Cao, "ReAct: Synergizing Reasoning and Acting in Language Models," International Conference on Learning Representations, 2023.</w:t>
      </w:r>
    </w:p>
    <w:p>
      <w:r>
        <w:rPr>
          <w:rFonts w:ascii="Times New Roman" w:hAnsi="Times New Roman"/>
          <w:i w:val="0"/>
          <w:sz w:val="21"/>
        </w:rPr>
        <w:t>[8] T. Schick, J. Dwivedi-Yu, R. Dessi, R. Raileanu, M. Lomeli, L. Zettlemoyer, N. Cancedda, and T. Scialom, "Toolformer: Language Models Can Teach Themselves to Use Tools," arXiv:2302.04761, 2023. doi:10.48550/arXiv.2302.04761.</w:t>
      </w:r>
    </w:p>
    <w:p>
      <w:r>
        <w:rPr>
          <w:rFonts w:ascii="Times New Roman" w:hAnsi="Times New Roman"/>
          <w:i w:val="0"/>
          <w:sz w:val="21"/>
        </w:rPr>
        <w:t>[9] Y. Xu, J. Xie, X. Liu, H. Cui, and M. Liu, "A Human-in-the-Loop Conceptual Design Framework Jointly Driven by Large Language Models and Knowledge Graphs," Advanced Engineering Informatics, vol. 74, part A, 104646, 2026. doi:10.1016/j.aei.2026.104646.</w:t>
      </w:r>
    </w:p>
    <w:p>
      <w:r>
        <w:rPr>
          <w:rFonts w:ascii="Times New Roman" w:hAnsi="Times New Roman"/>
          <w:i w:val="0"/>
          <w:sz w:val="21"/>
        </w:rPr>
        <w:t xml:space="preserve">[10] S. M. Sivaraman and J. V. Reddy, </w:t>
      </w:r>
      <w:r>
        <w:rPr>
          <w:rFonts w:ascii="Times New Roman" w:hAnsi="Times New Roman"/>
          <w:i w:val="0"/>
          <w:sz w:val="21"/>
          <w:u w:val="single"/>
        </w:rPr>
        <w:t>[AUTHOR REVIEW: insert final bibliographic details for the first S-lay ILT/source EDIKB paper.]</w:t>
      </w:r>
    </w:p>
    <w:p>
      <w:r>
        <w:rPr>
          <w:rFonts w:ascii="Times New Roman" w:hAnsi="Times New Roman"/>
          <w:i w:val="0"/>
          <w:sz w:val="21"/>
        </w:rPr>
        <w:t xml:space="preserve">[11] S. M. Sivaraman and J. V. Reddy, </w:t>
      </w:r>
      <w:r>
        <w:rPr>
          <w:rFonts w:ascii="Times New Roman" w:hAnsi="Times New Roman"/>
          <w:i w:val="0"/>
          <w:sz w:val="21"/>
          <w:u w:val="single"/>
        </w:rPr>
        <w:t>[AUTHOR REVIEW: insert final bibliographic details for the second S-lay ILT/source EDIKB paper.]</w:t>
      </w:r>
    </w:p>
    <w:p>
      <w:r>
        <w:rPr>
          <w:rFonts w:ascii="Times New Roman" w:hAnsi="Times New Roman"/>
          <w:i w:val="0"/>
          <w:sz w:val="21"/>
        </w:rPr>
        <w:t xml:space="preserve">[12] </w:t>
      </w:r>
      <w:r>
        <w:rPr>
          <w:rFonts w:ascii="Times New Roman" w:hAnsi="Times New Roman"/>
          <w:i w:val="0"/>
          <w:sz w:val="21"/>
          <w:u w:val="single"/>
        </w:rPr>
        <w:t>[AUTHOR REVIEW: add final subsea design-standard, active-learning, surrogate-modeling, and additional engineering-KG references if required by the final scope.]</w:t>
      </w:r>
    </w:p>
    <w:p>
      <w:pPr>
        <w:pStyle w:val="Heading1"/>
      </w:pPr>
      <w:r>
        <w:rPr>
          <w:rFonts w:ascii="Times New Roman" w:hAnsi="Times New Roman"/>
          <w:i w:val="0"/>
          <w:sz w:val="21"/>
        </w:rPr>
        <w:t>Submission-readiness register</w:t>
      </w:r>
    </w:p>
    <w:p>
      <w:pPr>
        <w:pStyle w:val="ListBullet"/>
      </w:pPr>
      <w:r>
        <w:rPr>
          <w:rFonts w:ascii="Times New Roman" w:hAnsi="Times New Roman"/>
          <w:i w:val="0"/>
          <w:sz w:val="21"/>
          <w:u w:val="single"/>
        </w:rPr>
        <w:t>[ ] Approve title, author order, affiliations, corresponding author, acknowledgments, and conflicts declaration.</w:t>
      </w:r>
    </w:p>
    <w:p>
      <w:pPr>
        <w:pStyle w:val="ListBullet"/>
      </w:pPr>
      <w:r>
        <w:rPr>
          <w:rFonts w:ascii="Times New Roman" w:hAnsi="Times New Roman"/>
          <w:i w:val="0"/>
          <w:sz w:val="21"/>
          <w:u w:val="single"/>
        </w:rPr>
        <w:t>[ ] Build the R7/R8 claim-to-evidence matrix.</w:t>
      </w:r>
    </w:p>
    <w:p>
      <w:pPr>
        <w:pStyle w:val="ListBullet"/>
      </w:pPr>
      <w:r>
        <w:rPr>
          <w:rFonts w:ascii="Times New Roman" w:hAnsi="Times New Roman"/>
          <w:i w:val="0"/>
          <w:sz w:val="21"/>
          <w:u w:val="single"/>
        </w:rPr>
        <w:t>[ ] Create final figures and verify reuse/redraw rights.</w:t>
      </w:r>
    </w:p>
    <w:p>
      <w:pPr>
        <w:pStyle w:val="ListBullet"/>
      </w:pPr>
      <w:r>
        <w:rPr>
          <w:rFonts w:ascii="Times New Roman" w:hAnsi="Times New Roman"/>
          <w:i w:val="0"/>
          <w:sz w:val="21"/>
          <w:u w:val="single"/>
        </w:rPr>
        <w:t>[ ] Freeze the controlled examples and repository release tag.</w:t>
      </w:r>
    </w:p>
    <w:p>
      <w:pPr>
        <w:pStyle w:val="ListBullet"/>
      </w:pPr>
      <w:r>
        <w:rPr>
          <w:rFonts w:ascii="Times New Roman" w:hAnsi="Times New Roman"/>
          <w:i w:val="0"/>
          <w:sz w:val="21"/>
          <w:u w:val="single"/>
        </w:rPr>
        <w:t>[ ] Verify every acronym, citation, figure, and engineering statement.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Paper 01A Draft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01A Manuscript Draft v0.3</dc:title>
  <dc:subject>S-lay inline structure AI4D case study</dc:subject>
  <dc:creator>Sreekanth Manakkattil Sivaraman; Jagannatha Venkataramana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