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Module: config.py -- Final Specification</w:t>
      </w:r>
    </w:p>
    <w:p>
      <w:pPr>
        <w:spacing w:after="100"/>
      </w:pPr>
      <w:r>
        <w:rPr>
          <w:i/>
          <w:iCs/>
          <w:color w:val="444444"/>
        </w:rPr>
        <w:t xml:space="preserve">Agreed for implementation -- 12 Aug 2026</w:t>
      </w:r>
    </w:p>
    <w:p>
      <w:pPr>
        <w:spacing w:after="100" w:before="100"/>
      </w:pPr>
      <w:r>
        <w:rPr>
          <w:b/>
          <w:bCs/>
          <w:i/>
          <w:iCs/>
          <w:color w:val="666666"/>
          <w:sz w:val="20"/>
          <w:szCs w:val="20"/>
        </w:rPr>
        <w:t xml:space="preserve">This document consolidates three rounds of review into one final record. Prior separate revision files (r1, r2, r3 addendum) are superseded by this one and don't need to be read separately.</w:t>
      </w:r>
    </w:p>
    <w:p>
      <w:pPr>
        <w:pStyle w:val="Heading1"/>
        <w:spacing w:after="150" w:before="300"/>
      </w:pPr>
      <w:r>
        <w:rPr>
          <w:b/>
          <w:bCs/>
        </w:rPr>
        <w:t xml:space="preserve">Purpose</w:t>
      </w:r>
    </w:p>
    <w:p>
      <w:pPr>
        <w:spacing w:after="200" w:line="300"/>
      </w:pPr>
      <w:r>
        <w:rPr>
          <w:sz w:val="22"/>
          <w:szCs w:val="22"/>
        </w:rPr>
        <w:t xml:space="preserve">config.py is the one place every constant used across the whole toolchain lives. It holds no logic of its own beyond loading and checking its data -- every actual default value lives in a companion file, slay_config.yaml, not in this file directly. Everything downstream -- geometry, contact, the solver, the two run modes -- imports its defaults from config.py exactly as it would if the values were still plain Python literals; where those values actually come from is not something any other module needs to know.</w:t>
      </w:r>
    </w:p>
    <w:p>
      <w:pPr>
        <w:pStyle w:val="Heading1"/>
        <w:spacing w:after="150" w:before="300"/>
      </w:pPr>
      <w:r>
        <w:rPr>
          <w:b/>
          <w:bCs/>
        </w:rPr>
        <w:t xml:space="preserve">Decision: defaults live in YAML, config.py is a loader</w:t>
      </w:r>
    </w:p>
    <w:p>
      <w:pPr>
        <w:spacing w:after="200" w:line="300"/>
      </w:pPr>
      <w:r>
        <w:rPr>
          <w:sz w:val="22"/>
          <w:szCs w:val="22"/>
        </w:rPr>
        <w:t xml:space="preserve">Per review, config.py does not hold the constants themselves. slay_config.yaml does, and config.py's only job is to locate that file, load it, confirm it's complete, and re-expose every value under the same name every other module already imports. Editing a default means editing the YAML file, not the Python file. This does add one small new fact about the module worth being explicit about: config.py now depends on a YAML parser being available at runtime, which a pure-constants version would not have needed.</w:t>
      </w:r>
    </w:p>
    <w:p>
      <w:pPr>
        <w:pStyle w:val="Heading2"/>
        <w:spacing w:after="100" w:before="200"/>
      </w:pPr>
      <w:r>
        <w:rPr>
          <w:b/>
          <w:bCs/>
        </w:rPr>
        <w:t xml:space="preserve">How this fits the wider workflow</w:t>
      </w:r>
    </w:p>
    <w:p>
      <w:pPr>
        <w:spacing w:after="200" w:line="300"/>
      </w:pPr>
      <w:r>
        <w:rPr>
          <w:sz w:val="22"/>
          <w:szCs w:val="22"/>
        </w:rPr>
        <w:t xml:space="preserve">slay_config.yaml changes are rare and deliberate -- they change the baseline every run gets, and should only be edited as a considered project-level decision, the same way the roller-count and one-sided-roller corrections in this review round were. Trying a different parameter for one specific study does not mean editing this file. That goes through slay_spec.py's case-level override mechanism instead, which layers a value on top of whatever config.py supplies for that one run only, tags it as user-supplied rather than default, and leaves the shared file untouched. The rule of thumb: config.py changes affect every run from that point forward; a case override affects one run and is visible as having done so.</w:t>
      </w:r>
    </w:p>
    <w:p>
      <w:pPr>
        <w:pStyle w:val="Heading1"/>
        <w:spacing w:after="150" w:before="300"/>
      </w:pPr>
      <w:r>
        <w:rPr>
          <w:b/>
          <w:bCs/>
        </w:rPr>
        <w:t xml:space="preserve">Content</w:t>
      </w:r>
    </w:p>
    <w:p>
      <w:pPr>
        <w:pStyle w:val="Heading2"/>
        <w:spacing w:after="100" w:before="200"/>
      </w:pPr>
      <w:r>
        <w:rPr>
          <w:b/>
          <w:bCs/>
        </w:rPr>
        <w:t xml:space="preserve">The reference pipeline</w:t>
      </w:r>
    </w:p>
    <w:p>
      <w:pPr>
        <w:spacing w:after="200" w:line="300"/>
      </w:pPr>
      <w:r>
        <w:rPr>
          <w:sz w:val="22"/>
          <w:szCs w:val="22"/>
        </w:rPr>
        <w:t xml:space="preserve">The pipe validated against by default is a 16 inch line, 406.4 millimetres outer diameter, with a 21 millimetre wall -- the standard reference geometry throughout the project's validation work. Default stinger radius is 85 metres; the validated set also covers 70 and 100 metres, but those are deliberately not the default, since 85 is the one most of the historical comparison work was built around.</w:t>
      </w:r>
    </w:p>
    <w:p>
      <w:pPr>
        <w:pStyle w:val="Heading2"/>
        <w:spacing w:after="100" w:before="200"/>
      </w:pPr>
      <w:r>
        <w:rPr>
          <w:b/>
          <w:bCs/>
        </w:rPr>
        <w:t xml:space="preserve">The stinger and its rollers</w:t>
      </w:r>
    </w:p>
    <w:p>
      <w:pPr>
        <w:spacing w:after="200" w:line="300"/>
      </w:pPr>
      <w:r>
        <w:rPr>
          <w:sz w:val="22"/>
          <w:szCs w:val="22"/>
        </w:rPr>
        <w:t xml:space="preserve">Roller spacing is 8 metres, with 6 stinger rollers and 3 vessel rollers by default. Three vessel rollers is the corrected figure -- an earlier draft of the sliding-contact module had drifted to a default of 10, which was wrong. More than three is only needed when the sweep must travel further than one roller spacing can cover, and even then should be raised deliberately for that case, not carried as a new default for everything.</w:t>
      </w:r>
    </w:p>
    <w:p>
      <w:pPr>
        <w:spacing w:after="200" w:line="300"/>
      </w:pPr>
      <w:r>
        <w:rPr>
          <w:sz w:val="22"/>
          <w:szCs w:val="22"/>
        </w:rPr>
        <w:t xml:space="preserve">Roller radius holds only a fallback value here, 300 millimetres, used when a specific roller has no override -- rollers are not assumed to share one diameter, and the actual per-roller lookup lives in slay_geometry.py, not here.</w:t>
      </w:r>
    </w:p>
    <w:p>
      <w:pPr>
        <w:spacing w:after="200" w:line="300"/>
      </w:pPr>
      <w:r>
        <w:rPr>
          <w:sz w:val="22"/>
          <w:szCs w:val="22"/>
        </w:rPr>
        <w:t xml:space="preserve">Which rollers are one-sided was corrected during this review. Every roller riding the stinger arc is one-sided -- it can only push the pipe along the curve, never hold it down against it -- so all SR rollers are one-sided, regardless of how many there are. VR1 and VR2, nearest the stinger, are also one-sided. Every other vessel roller, further toward the vessel interior, is bilateral. Because the SR count is itself configurable, this is expressed in the data file as a rule -- "all SR rollers, plus VR1 and VR2" -- rather than a fixed list of names that would go stale the moment the roller count changed. config.py resolves that rule into a concrete set of names at load time, using the roller count from the same file; this is the one piece of real computation the loader does, and is shown as its own step in the accompanying flowchart.</w:t>
      </w:r>
    </w:p>
    <w:p>
      <w:pPr>
        <w:pStyle w:val="Heading2"/>
        <w:spacing w:after="100" w:before="200"/>
      </w:pPr>
      <w:r>
        <w:rPr>
          <w:b/>
          <w:bCs/>
        </w:rPr>
        <w:t xml:space="preserve">Mesh density</w:t>
      </w:r>
    </w:p>
    <w:p>
      <w:pPr>
        <w:spacing w:after="200" w:line="300"/>
      </w:pPr>
      <w:r>
        <w:rPr>
          <w:sz w:val="22"/>
          <w:szCs w:val="22"/>
        </w:rPr>
        <w:t xml:space="preserve">The standard element length is twice the pipe outer diameter, matching the mesh the reference paper itself used and tied directly to how the validated comparison numbers were produced. Refining it would move away from an apples-to-apples comparison unless the comparison basis moved with it, so this stays as the default until a specific study gives a specific reason to change it.</w:t>
      </w:r>
    </w:p>
    <w:p>
      <w:pPr>
        <w:pStyle w:val="Heading2"/>
        <w:spacing w:after="100" w:before="200"/>
      </w:pPr>
      <w:r>
        <w:rPr>
          <w:b/>
          <w:bCs/>
        </w:rPr>
        <w:t xml:space="preserve">Materials</w:t>
      </w:r>
    </w:p>
    <w:p>
      <w:pPr>
        <w:spacing w:after="200" w:line="300"/>
      </w:pPr>
      <w:r>
        <w:rPr>
          <w:sz w:val="22"/>
          <w:szCs w:val="22"/>
        </w:rPr>
        <w:t xml:space="preserve">There are two materials, genuinely different rather than two names for the same steel. J2 is incremental plasticity -- it remembers loading history, which is why it's used wherever plastic strain needs to carry forward between steps. The table below is transcribed directly from the project's own original Abaqus benchmark model, confirmed by direct screenshot of the keyword editor. A caution travels with it: a similarly-shaped table exists elsewhere in the engine with a 385 MPa yield instead of 360 MPa, built from a different source and not matching what the benchmark was actually run with -- the table below, 360 MPa yield, is the correct one.</w:t>
      </w:r>
    </w:p>
    <w:tbl>
      <w:tblPr>
        <w:tblW w:type="pct" w:w="7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tcW w:type="pct" w:w="50%"/>
            <w:shd w:fill="1E3A5F" w:val="clear"/>
            <w:tcMar>
              <w:top w:type="dxa" w:w="80"/>
              <w:left w:type="dxa" w:w="100"/>
              <w:bottom w:type="dxa" w:w="80"/>
              <w:right w:type="dxa" w:w="100"/>
            </w:tcMar>
          </w:tcPr>
          <w:p>
            <w:r>
              <w:rPr>
                <w:b/>
                <w:bCs/>
                <w:color w:val="FFFFFF"/>
                <w:sz w:val="20"/>
                <w:szCs w:val="20"/>
              </w:rPr>
              <w:t xml:space="preserve">Yield stress (MPa)</w:t>
            </w:r>
          </w:p>
        </w:tc>
        <w:tc>
          <w:tcPr>
            <w:tcW w:type="pct" w:w="50%"/>
            <w:shd w:fill="1E3A5F" w:val="clear"/>
            <w:tcMar>
              <w:top w:type="dxa" w:w="80"/>
              <w:left w:type="dxa" w:w="100"/>
              <w:bottom w:type="dxa" w:w="80"/>
              <w:right w:type="dxa" w:w="100"/>
            </w:tcMar>
          </w:tcPr>
          <w:p>
            <w:r>
              <w:rPr>
                <w:b/>
                <w:bCs/>
                <w:color w:val="FFFFFF"/>
                <w:sz w:val="20"/>
                <w:szCs w:val="20"/>
              </w:rPr>
              <w:t xml:space="preserve">Plastic strain</w:t>
            </w:r>
          </w:p>
        </w:tc>
      </w:tr>
      <w:tr>
        <w:tc>
          <w:tcPr>
            <w:tcW w:type="pct" w:w="50%"/>
            <w:tcMar>
              <w:top w:type="dxa" w:w="80"/>
              <w:left w:type="dxa" w:w="100"/>
              <w:bottom w:type="dxa" w:w="80"/>
              <w:right w:type="dxa" w:w="100"/>
            </w:tcMar>
          </w:tcPr>
          <w:p>
            <w:r>
              <w:rPr>
                <w:b w:val="false"/>
                <w:bCs w:val="false"/>
                <w:color w:val="000000"/>
                <w:sz w:val="20"/>
                <w:szCs w:val="20"/>
              </w:rPr>
              <w:t xml:space="preserve">360.0</w:t>
            </w:r>
          </w:p>
        </w:tc>
        <w:tc>
          <w:tcPr>
            <w:tcW w:type="pct" w:w="50%"/>
            <w:tcMar>
              <w:top w:type="dxa" w:w="80"/>
              <w:left w:type="dxa" w:w="100"/>
              <w:bottom w:type="dxa" w:w="80"/>
              <w:right w:type="dxa" w:w="100"/>
            </w:tcMar>
          </w:tcPr>
          <w:p>
            <w:r>
              <w:rPr>
                <w:b w:val="false"/>
                <w:bCs w:val="false"/>
                <w:color w:val="000000"/>
                <w:sz w:val="20"/>
                <w:szCs w:val="20"/>
              </w:rPr>
              <w:t xml:space="preserve">0.000000</w:t>
            </w:r>
          </w:p>
        </w:tc>
      </w:tr>
      <w:tr>
        <w:tc>
          <w:tcPr>
            <w:tcW w:type="pct" w:w="50%"/>
            <w:tcMar>
              <w:top w:type="dxa" w:w="80"/>
              <w:left w:type="dxa" w:w="100"/>
              <w:bottom w:type="dxa" w:w="80"/>
              <w:right w:type="dxa" w:w="100"/>
            </w:tcMar>
          </w:tcPr>
          <w:p>
            <w:r>
              <w:rPr>
                <w:b w:val="false"/>
                <w:bCs w:val="false"/>
                <w:color w:val="000000"/>
                <w:sz w:val="20"/>
                <w:szCs w:val="20"/>
              </w:rPr>
              <w:t xml:space="preserve">385.0</w:t>
            </w:r>
          </w:p>
        </w:tc>
        <w:tc>
          <w:tcPr>
            <w:tcW w:type="pct" w:w="50%"/>
            <w:tcMar>
              <w:top w:type="dxa" w:w="80"/>
              <w:left w:type="dxa" w:w="100"/>
              <w:bottom w:type="dxa" w:w="80"/>
              <w:right w:type="dxa" w:w="100"/>
            </w:tcMar>
          </w:tcPr>
          <w:p>
            <w:r>
              <w:rPr>
                <w:b w:val="false"/>
                <w:bCs w:val="false"/>
                <w:color w:val="000000"/>
                <w:sz w:val="20"/>
                <w:szCs w:val="20"/>
              </w:rPr>
              <w:t xml:space="preserve">0.000263</w:t>
            </w:r>
          </w:p>
        </w:tc>
      </w:tr>
      <w:tr>
        <w:tc>
          <w:tcPr>
            <w:tcW w:type="pct" w:w="50%"/>
            <w:tcMar>
              <w:top w:type="dxa" w:w="80"/>
              <w:left w:type="dxa" w:w="100"/>
              <w:bottom w:type="dxa" w:w="80"/>
              <w:right w:type="dxa" w:w="100"/>
            </w:tcMar>
          </w:tcPr>
          <w:p>
            <w:r>
              <w:rPr>
                <w:b w:val="false"/>
                <w:bCs w:val="false"/>
                <w:color w:val="000000"/>
                <w:sz w:val="20"/>
                <w:szCs w:val="20"/>
              </w:rPr>
              <w:t xml:space="preserve">390.0</w:t>
            </w:r>
          </w:p>
        </w:tc>
        <w:tc>
          <w:tcPr>
            <w:tcW w:type="pct" w:w="50%"/>
            <w:tcMar>
              <w:top w:type="dxa" w:w="80"/>
              <w:left w:type="dxa" w:w="100"/>
              <w:bottom w:type="dxa" w:w="80"/>
              <w:right w:type="dxa" w:w="100"/>
            </w:tcMar>
          </w:tcPr>
          <w:p>
            <w:r>
              <w:rPr>
                <w:b w:val="false"/>
                <w:bCs w:val="false"/>
                <w:color w:val="000000"/>
                <w:sz w:val="20"/>
                <w:szCs w:val="20"/>
              </w:rPr>
              <w:t xml:space="preserve">0.000340</w:t>
            </w:r>
          </w:p>
        </w:tc>
      </w:tr>
      <w:tr>
        <w:tc>
          <w:tcPr>
            <w:tcW w:type="pct" w:w="50%"/>
            <w:tcMar>
              <w:top w:type="dxa" w:w="80"/>
              <w:left w:type="dxa" w:w="100"/>
              <w:bottom w:type="dxa" w:w="80"/>
              <w:right w:type="dxa" w:w="100"/>
            </w:tcMar>
          </w:tcPr>
          <w:p>
            <w:r>
              <w:rPr>
                <w:b w:val="false"/>
                <w:bCs w:val="false"/>
                <w:color w:val="000000"/>
                <w:sz w:val="20"/>
                <w:szCs w:val="20"/>
              </w:rPr>
              <w:t xml:space="preserve">395.0</w:t>
            </w:r>
          </w:p>
        </w:tc>
        <w:tc>
          <w:tcPr>
            <w:tcW w:type="pct" w:w="50%"/>
            <w:tcMar>
              <w:top w:type="dxa" w:w="80"/>
              <w:left w:type="dxa" w:w="100"/>
              <w:bottom w:type="dxa" w:w="80"/>
              <w:right w:type="dxa" w:w="100"/>
            </w:tcMar>
          </w:tcPr>
          <w:p>
            <w:r>
              <w:rPr>
                <w:b w:val="false"/>
                <w:bCs w:val="false"/>
                <w:color w:val="000000"/>
                <w:sz w:val="20"/>
                <w:szCs w:val="20"/>
              </w:rPr>
              <w:t xml:space="preserve">0.000428</w:t>
            </w:r>
          </w:p>
        </w:tc>
      </w:tr>
      <w:tr>
        <w:tc>
          <w:tcPr>
            <w:tcW w:type="pct" w:w="50%"/>
            <w:tcMar>
              <w:top w:type="dxa" w:w="80"/>
              <w:left w:type="dxa" w:w="100"/>
              <w:bottom w:type="dxa" w:w="80"/>
              <w:right w:type="dxa" w:w="100"/>
            </w:tcMar>
          </w:tcPr>
          <w:p>
            <w:r>
              <w:rPr>
                <w:b w:val="false"/>
                <w:bCs w:val="false"/>
                <w:color w:val="000000"/>
                <w:sz w:val="20"/>
                <w:szCs w:val="20"/>
              </w:rPr>
              <w:t xml:space="preserve">400.0</w:t>
            </w:r>
          </w:p>
        </w:tc>
        <w:tc>
          <w:tcPr>
            <w:tcW w:type="pct" w:w="50%"/>
            <w:tcMar>
              <w:top w:type="dxa" w:w="80"/>
              <w:left w:type="dxa" w:w="100"/>
              <w:bottom w:type="dxa" w:w="80"/>
              <w:right w:type="dxa" w:w="100"/>
            </w:tcMar>
          </w:tcPr>
          <w:p>
            <w:r>
              <w:rPr>
                <w:b w:val="false"/>
                <w:bCs w:val="false"/>
                <w:color w:val="000000"/>
                <w:sz w:val="20"/>
                <w:szCs w:val="20"/>
              </w:rPr>
              <w:t xml:space="preserve">0.000531</w:t>
            </w:r>
          </w:p>
        </w:tc>
      </w:tr>
      <w:tr>
        <w:tc>
          <w:tcPr>
            <w:tcW w:type="pct" w:w="50%"/>
            <w:tcMar>
              <w:top w:type="dxa" w:w="80"/>
              <w:left w:type="dxa" w:w="100"/>
              <w:bottom w:type="dxa" w:w="80"/>
              <w:right w:type="dxa" w:w="100"/>
            </w:tcMar>
          </w:tcPr>
          <w:p>
            <w:r>
              <w:rPr>
                <w:b w:val="false"/>
                <w:bCs w:val="false"/>
                <w:color w:val="000000"/>
                <w:sz w:val="20"/>
                <w:szCs w:val="20"/>
              </w:rPr>
              <w:t xml:space="preserve">405.0</w:t>
            </w:r>
          </w:p>
        </w:tc>
        <w:tc>
          <w:tcPr>
            <w:tcW w:type="pct" w:w="50%"/>
            <w:tcMar>
              <w:top w:type="dxa" w:w="80"/>
              <w:left w:type="dxa" w:w="100"/>
              <w:bottom w:type="dxa" w:w="80"/>
              <w:right w:type="dxa" w:w="100"/>
            </w:tcMar>
          </w:tcPr>
          <w:p>
            <w:r>
              <w:rPr>
                <w:b w:val="false"/>
                <w:bCs w:val="false"/>
                <w:color w:val="000000"/>
                <w:sz w:val="20"/>
                <w:szCs w:val="20"/>
              </w:rPr>
              <w:t xml:space="preserve">0.000652</w:t>
            </w:r>
          </w:p>
        </w:tc>
      </w:tr>
      <w:tr>
        <w:tc>
          <w:tcPr>
            <w:tcW w:type="pct" w:w="50%"/>
            <w:tcMar>
              <w:top w:type="dxa" w:w="80"/>
              <w:left w:type="dxa" w:w="100"/>
              <w:bottom w:type="dxa" w:w="80"/>
              <w:right w:type="dxa" w:w="100"/>
            </w:tcMar>
          </w:tcPr>
          <w:p>
            <w:r>
              <w:rPr>
                <w:b w:val="false"/>
                <w:bCs w:val="false"/>
                <w:color w:val="000000"/>
                <w:sz w:val="20"/>
                <w:szCs w:val="20"/>
              </w:rPr>
              <w:t xml:space="preserve">410.0</w:t>
            </w:r>
          </w:p>
        </w:tc>
        <w:tc>
          <w:tcPr>
            <w:tcW w:type="pct" w:w="50%"/>
            <w:tcMar>
              <w:top w:type="dxa" w:w="80"/>
              <w:left w:type="dxa" w:w="100"/>
              <w:bottom w:type="dxa" w:w="80"/>
              <w:right w:type="dxa" w:w="100"/>
            </w:tcMar>
          </w:tcPr>
          <w:p>
            <w:r>
              <w:rPr>
                <w:b w:val="false"/>
                <w:bCs w:val="false"/>
                <w:color w:val="000000"/>
                <w:sz w:val="20"/>
                <w:szCs w:val="20"/>
              </w:rPr>
              <w:t xml:space="preserve">0.000795</w:t>
            </w:r>
          </w:p>
        </w:tc>
      </w:tr>
      <w:tr>
        <w:tc>
          <w:tcPr>
            <w:tcW w:type="pct" w:w="50%"/>
            <w:tcMar>
              <w:top w:type="dxa" w:w="80"/>
              <w:left w:type="dxa" w:w="100"/>
              <w:bottom w:type="dxa" w:w="80"/>
              <w:right w:type="dxa" w:w="100"/>
            </w:tcMar>
          </w:tcPr>
          <w:p>
            <w:r>
              <w:rPr>
                <w:b w:val="false"/>
                <w:bCs w:val="false"/>
                <w:color w:val="000000"/>
                <w:sz w:val="20"/>
                <w:szCs w:val="20"/>
              </w:rPr>
              <w:t xml:space="preserve">415.0</w:t>
            </w:r>
          </w:p>
        </w:tc>
        <w:tc>
          <w:tcPr>
            <w:tcW w:type="pct" w:w="50%"/>
            <w:tcMar>
              <w:top w:type="dxa" w:w="80"/>
              <w:left w:type="dxa" w:w="100"/>
              <w:bottom w:type="dxa" w:w="80"/>
              <w:right w:type="dxa" w:w="100"/>
            </w:tcMar>
          </w:tcPr>
          <w:p>
            <w:r>
              <w:rPr>
                <w:b w:val="false"/>
                <w:bCs w:val="false"/>
                <w:color w:val="000000"/>
                <w:sz w:val="20"/>
                <w:szCs w:val="20"/>
              </w:rPr>
              <w:t xml:space="preserve">0.000963</w:t>
            </w:r>
          </w:p>
        </w:tc>
      </w:tr>
      <w:tr>
        <w:tc>
          <w:tcPr>
            <w:tcW w:type="pct" w:w="50%"/>
            <w:tcMar>
              <w:top w:type="dxa" w:w="80"/>
              <w:left w:type="dxa" w:w="100"/>
              <w:bottom w:type="dxa" w:w="80"/>
              <w:right w:type="dxa" w:w="100"/>
            </w:tcMar>
          </w:tcPr>
          <w:p>
            <w:r>
              <w:rPr>
                <w:b w:val="false"/>
                <w:bCs w:val="false"/>
                <w:color w:val="000000"/>
                <w:sz w:val="20"/>
                <w:szCs w:val="20"/>
              </w:rPr>
              <w:t xml:space="preserve">420.0</w:t>
            </w:r>
          </w:p>
        </w:tc>
        <w:tc>
          <w:tcPr>
            <w:tcW w:type="pct" w:w="50%"/>
            <w:tcMar>
              <w:top w:type="dxa" w:w="80"/>
              <w:left w:type="dxa" w:w="100"/>
              <w:bottom w:type="dxa" w:w="80"/>
              <w:right w:type="dxa" w:w="100"/>
            </w:tcMar>
          </w:tcPr>
          <w:p>
            <w:r>
              <w:rPr>
                <w:b w:val="false"/>
                <w:bCs w:val="false"/>
                <w:color w:val="000000"/>
                <w:sz w:val="20"/>
                <w:szCs w:val="20"/>
              </w:rPr>
              <w:t xml:space="preserve">0.001163</w:t>
            </w:r>
          </w:p>
        </w:tc>
      </w:tr>
      <w:tr>
        <w:tc>
          <w:tcPr>
            <w:tcW w:type="pct" w:w="50%"/>
            <w:tcMar>
              <w:top w:type="dxa" w:w="80"/>
              <w:left w:type="dxa" w:w="100"/>
              <w:bottom w:type="dxa" w:w="80"/>
              <w:right w:type="dxa" w:w="100"/>
            </w:tcMar>
          </w:tcPr>
          <w:p>
            <w:r>
              <w:rPr>
                <w:b w:val="false"/>
                <w:bCs w:val="false"/>
                <w:color w:val="000000"/>
                <w:sz w:val="20"/>
                <w:szCs w:val="20"/>
              </w:rPr>
              <w:t xml:space="preserve">425.0</w:t>
            </w:r>
          </w:p>
        </w:tc>
        <w:tc>
          <w:tcPr>
            <w:tcW w:type="pct" w:w="50%"/>
            <w:tcMar>
              <w:top w:type="dxa" w:w="80"/>
              <w:left w:type="dxa" w:w="100"/>
              <w:bottom w:type="dxa" w:w="80"/>
              <w:right w:type="dxa" w:w="100"/>
            </w:tcMar>
          </w:tcPr>
          <w:p>
            <w:r>
              <w:rPr>
                <w:b w:val="false"/>
                <w:bCs w:val="false"/>
                <w:color w:val="000000"/>
                <w:sz w:val="20"/>
                <w:szCs w:val="20"/>
              </w:rPr>
              <w:t xml:space="preserve">0.001400</w:t>
            </w:r>
          </w:p>
        </w:tc>
      </w:tr>
      <w:tr>
        <w:tc>
          <w:tcPr>
            <w:tcW w:type="pct" w:w="50%"/>
            <w:tcMar>
              <w:top w:type="dxa" w:w="80"/>
              <w:left w:type="dxa" w:w="100"/>
              <w:bottom w:type="dxa" w:w="80"/>
              <w:right w:type="dxa" w:w="100"/>
            </w:tcMar>
          </w:tcPr>
          <w:p>
            <w:r>
              <w:rPr>
                <w:b w:val="false"/>
                <w:bCs w:val="false"/>
                <w:color w:val="000000"/>
                <w:sz w:val="20"/>
                <w:szCs w:val="20"/>
              </w:rPr>
              <w:t xml:space="preserve">430.0</w:t>
            </w:r>
          </w:p>
        </w:tc>
        <w:tc>
          <w:tcPr>
            <w:tcW w:type="pct" w:w="50%"/>
            <w:tcMar>
              <w:top w:type="dxa" w:w="80"/>
              <w:left w:type="dxa" w:w="100"/>
              <w:bottom w:type="dxa" w:w="80"/>
              <w:right w:type="dxa" w:w="100"/>
            </w:tcMar>
          </w:tcPr>
          <w:p>
            <w:r>
              <w:rPr>
                <w:b w:val="false"/>
                <w:bCs w:val="false"/>
                <w:color w:val="000000"/>
                <w:sz w:val="20"/>
                <w:szCs w:val="20"/>
              </w:rPr>
              <w:t xml:space="preserve">0.001682</w:t>
            </w:r>
          </w:p>
        </w:tc>
      </w:tr>
      <w:tr>
        <w:tc>
          <w:tcPr>
            <w:tcW w:type="pct" w:w="50%"/>
            <w:tcMar>
              <w:top w:type="dxa" w:w="80"/>
              <w:left w:type="dxa" w:w="100"/>
              <w:bottom w:type="dxa" w:w="80"/>
              <w:right w:type="dxa" w:w="100"/>
            </w:tcMar>
          </w:tcPr>
          <w:p>
            <w:r>
              <w:rPr>
                <w:b w:val="false"/>
                <w:bCs w:val="false"/>
                <w:color w:val="000000"/>
                <w:sz w:val="20"/>
                <w:szCs w:val="20"/>
              </w:rPr>
              <w:t xml:space="preserve">435.0</w:t>
            </w:r>
          </w:p>
        </w:tc>
        <w:tc>
          <w:tcPr>
            <w:tcW w:type="pct" w:w="50%"/>
            <w:tcMar>
              <w:top w:type="dxa" w:w="80"/>
              <w:left w:type="dxa" w:w="100"/>
              <w:bottom w:type="dxa" w:w="80"/>
              <w:right w:type="dxa" w:w="100"/>
            </w:tcMar>
          </w:tcPr>
          <w:p>
            <w:r>
              <w:rPr>
                <w:b w:val="false"/>
                <w:bCs w:val="false"/>
                <w:color w:val="000000"/>
                <w:sz w:val="20"/>
                <w:szCs w:val="20"/>
              </w:rPr>
              <w:t xml:space="preserve">0.002017</w:t>
            </w:r>
          </w:p>
        </w:tc>
      </w:tr>
      <w:tr>
        <w:tc>
          <w:tcPr>
            <w:tcW w:type="pct" w:w="50%"/>
            <w:tcMar>
              <w:top w:type="dxa" w:w="80"/>
              <w:left w:type="dxa" w:w="100"/>
              <w:bottom w:type="dxa" w:w="80"/>
              <w:right w:type="dxa" w:w="100"/>
            </w:tcMar>
          </w:tcPr>
          <w:p>
            <w:r>
              <w:rPr>
                <w:b w:val="false"/>
                <w:bCs w:val="false"/>
                <w:color w:val="000000"/>
                <w:sz w:val="20"/>
                <w:szCs w:val="20"/>
              </w:rPr>
              <w:t xml:space="preserve">440.0</w:t>
            </w:r>
          </w:p>
        </w:tc>
        <w:tc>
          <w:tcPr>
            <w:tcW w:type="pct" w:w="50%"/>
            <w:tcMar>
              <w:top w:type="dxa" w:w="80"/>
              <w:left w:type="dxa" w:w="100"/>
              <w:bottom w:type="dxa" w:w="80"/>
              <w:right w:type="dxa" w:w="100"/>
            </w:tcMar>
          </w:tcPr>
          <w:p>
            <w:r>
              <w:rPr>
                <w:b w:val="false"/>
                <w:bCs w:val="false"/>
                <w:color w:val="000000"/>
                <w:sz w:val="20"/>
                <w:szCs w:val="20"/>
              </w:rPr>
              <w:t xml:space="preserve">0.002416</w:t>
            </w:r>
          </w:p>
        </w:tc>
      </w:tr>
      <w:tr>
        <w:tc>
          <w:tcPr>
            <w:tcW w:type="pct" w:w="50%"/>
            <w:tcMar>
              <w:top w:type="dxa" w:w="80"/>
              <w:left w:type="dxa" w:w="100"/>
              <w:bottom w:type="dxa" w:w="80"/>
              <w:right w:type="dxa" w:w="100"/>
            </w:tcMar>
          </w:tcPr>
          <w:p>
            <w:r>
              <w:rPr>
                <w:b w:val="false"/>
                <w:bCs w:val="false"/>
                <w:color w:val="000000"/>
                <w:sz w:val="20"/>
                <w:szCs w:val="20"/>
              </w:rPr>
              <w:t xml:space="preserve">445.0</w:t>
            </w:r>
          </w:p>
        </w:tc>
        <w:tc>
          <w:tcPr>
            <w:tcW w:type="pct" w:w="50%"/>
            <w:tcMar>
              <w:top w:type="dxa" w:w="80"/>
              <w:left w:type="dxa" w:w="100"/>
              <w:bottom w:type="dxa" w:w="80"/>
              <w:right w:type="dxa" w:w="100"/>
            </w:tcMar>
          </w:tcPr>
          <w:p>
            <w:r>
              <w:rPr>
                <w:b w:val="false"/>
                <w:bCs w:val="false"/>
                <w:color w:val="000000"/>
                <w:sz w:val="20"/>
                <w:szCs w:val="20"/>
              </w:rPr>
              <w:t xml:space="preserve">0.002892</w:t>
            </w:r>
          </w:p>
        </w:tc>
      </w:tr>
      <w:tr>
        <w:tc>
          <w:tcPr>
            <w:tcW w:type="pct" w:w="50%"/>
            <w:tcMar>
              <w:top w:type="dxa" w:w="80"/>
              <w:left w:type="dxa" w:w="100"/>
              <w:bottom w:type="dxa" w:w="80"/>
              <w:right w:type="dxa" w:w="100"/>
            </w:tcMar>
          </w:tcPr>
          <w:p>
            <w:r>
              <w:rPr>
                <w:b w:val="false"/>
                <w:bCs w:val="false"/>
                <w:color w:val="000000"/>
                <w:sz w:val="20"/>
                <w:szCs w:val="20"/>
              </w:rPr>
              <w:t xml:space="preserve">450.0</w:t>
            </w:r>
          </w:p>
        </w:tc>
        <w:tc>
          <w:tcPr>
            <w:tcW w:type="pct" w:w="50%"/>
            <w:tcMar>
              <w:top w:type="dxa" w:w="80"/>
              <w:left w:type="dxa" w:w="100"/>
              <w:bottom w:type="dxa" w:w="80"/>
              <w:right w:type="dxa" w:w="100"/>
            </w:tcMar>
          </w:tcPr>
          <w:p>
            <w:r>
              <w:rPr>
                <w:b w:val="false"/>
                <w:bCs w:val="false"/>
                <w:color w:val="000000"/>
                <w:sz w:val="20"/>
                <w:szCs w:val="20"/>
              </w:rPr>
              <w:t xml:space="preserve">0.003458</w:t>
            </w:r>
          </w:p>
        </w:tc>
      </w:tr>
      <w:tr>
        <w:tc>
          <w:tcPr>
            <w:tcW w:type="pct" w:w="50%"/>
            <w:tcMar>
              <w:top w:type="dxa" w:w="80"/>
              <w:left w:type="dxa" w:w="100"/>
              <w:bottom w:type="dxa" w:w="80"/>
              <w:right w:type="dxa" w:w="100"/>
            </w:tcMar>
          </w:tcPr>
          <w:p>
            <w:r>
              <w:rPr>
                <w:b w:val="false"/>
                <w:bCs w:val="false"/>
                <w:color w:val="000000"/>
                <w:sz w:val="20"/>
                <w:szCs w:val="20"/>
              </w:rPr>
              <w:t xml:space="preserve">455.0</w:t>
            </w:r>
          </w:p>
        </w:tc>
        <w:tc>
          <w:tcPr>
            <w:tcW w:type="pct" w:w="50%"/>
            <w:tcMar>
              <w:top w:type="dxa" w:w="80"/>
              <w:left w:type="dxa" w:w="100"/>
              <w:bottom w:type="dxa" w:w="80"/>
              <w:right w:type="dxa" w:w="100"/>
            </w:tcMar>
          </w:tcPr>
          <w:p>
            <w:r>
              <w:rPr>
                <w:b w:val="false"/>
                <w:bCs w:val="false"/>
                <w:color w:val="000000"/>
                <w:sz w:val="20"/>
                <w:szCs w:val="20"/>
              </w:rPr>
              <w:t xml:space="preserve">0.004130</w:t>
            </w:r>
          </w:p>
        </w:tc>
      </w:tr>
      <w:tr>
        <w:tc>
          <w:tcPr>
            <w:tcW w:type="pct" w:w="50%"/>
            <w:tcMar>
              <w:top w:type="dxa" w:w="80"/>
              <w:left w:type="dxa" w:w="100"/>
              <w:bottom w:type="dxa" w:w="80"/>
              <w:right w:type="dxa" w:w="100"/>
            </w:tcMar>
          </w:tcPr>
          <w:p>
            <w:r>
              <w:rPr>
                <w:b w:val="false"/>
                <w:bCs w:val="false"/>
                <w:color w:val="000000"/>
                <w:sz w:val="20"/>
                <w:szCs w:val="20"/>
              </w:rPr>
              <w:t xml:space="preserve">460.0</w:t>
            </w:r>
          </w:p>
        </w:tc>
        <w:tc>
          <w:tcPr>
            <w:tcW w:type="pct" w:w="50%"/>
            <w:tcMar>
              <w:top w:type="dxa" w:w="80"/>
              <w:left w:type="dxa" w:w="100"/>
              <w:bottom w:type="dxa" w:w="80"/>
              <w:right w:type="dxa" w:w="100"/>
            </w:tcMar>
          </w:tcPr>
          <w:p>
            <w:r>
              <w:rPr>
                <w:b w:val="false"/>
                <w:bCs w:val="false"/>
                <w:color w:val="000000"/>
                <w:sz w:val="20"/>
                <w:szCs w:val="20"/>
              </w:rPr>
              <w:t xml:space="preserve">0.004930</w:t>
            </w:r>
          </w:p>
        </w:tc>
      </w:tr>
      <w:tr>
        <w:tc>
          <w:tcPr>
            <w:tcW w:type="pct" w:w="50%"/>
            <w:tcMar>
              <w:top w:type="dxa" w:w="80"/>
              <w:left w:type="dxa" w:w="100"/>
              <w:bottom w:type="dxa" w:w="80"/>
              <w:right w:type="dxa" w:w="100"/>
            </w:tcMar>
          </w:tcPr>
          <w:p>
            <w:r>
              <w:rPr>
                <w:b w:val="false"/>
                <w:bCs w:val="false"/>
                <w:color w:val="000000"/>
                <w:sz w:val="20"/>
                <w:szCs w:val="20"/>
              </w:rPr>
              <w:t xml:space="preserve">465.0</w:t>
            </w:r>
          </w:p>
        </w:tc>
        <w:tc>
          <w:tcPr>
            <w:tcW w:type="pct" w:w="50%"/>
            <w:tcMar>
              <w:top w:type="dxa" w:w="80"/>
              <w:left w:type="dxa" w:w="100"/>
              <w:bottom w:type="dxa" w:w="80"/>
              <w:right w:type="dxa" w:w="100"/>
            </w:tcMar>
          </w:tcPr>
          <w:p>
            <w:r>
              <w:rPr>
                <w:b w:val="false"/>
                <w:bCs w:val="false"/>
                <w:color w:val="000000"/>
                <w:sz w:val="20"/>
                <w:szCs w:val="20"/>
              </w:rPr>
              <w:t xml:space="preserve">0.005878</w:t>
            </w:r>
          </w:p>
        </w:tc>
      </w:tr>
      <w:tr>
        <w:tc>
          <w:tcPr>
            <w:tcW w:type="pct" w:w="50%"/>
            <w:tcMar>
              <w:top w:type="dxa" w:w="80"/>
              <w:left w:type="dxa" w:w="100"/>
              <w:bottom w:type="dxa" w:w="80"/>
              <w:right w:type="dxa" w:w="100"/>
            </w:tcMar>
          </w:tcPr>
          <w:p>
            <w:r>
              <w:rPr>
                <w:b w:val="false"/>
                <w:bCs w:val="false"/>
                <w:color w:val="000000"/>
                <w:sz w:val="20"/>
                <w:szCs w:val="20"/>
              </w:rPr>
              <w:t xml:space="preserve">470.0</w:t>
            </w:r>
          </w:p>
        </w:tc>
        <w:tc>
          <w:tcPr>
            <w:tcW w:type="pct" w:w="50%"/>
            <w:tcMar>
              <w:top w:type="dxa" w:w="80"/>
              <w:left w:type="dxa" w:w="100"/>
              <w:bottom w:type="dxa" w:w="80"/>
              <w:right w:type="dxa" w:w="100"/>
            </w:tcMar>
          </w:tcPr>
          <w:p>
            <w:r>
              <w:rPr>
                <w:b w:val="false"/>
                <w:bCs w:val="false"/>
                <w:color w:val="000000"/>
                <w:sz w:val="20"/>
                <w:szCs w:val="20"/>
              </w:rPr>
              <w:t xml:space="preserve">0.007003</w:t>
            </w:r>
          </w:p>
        </w:tc>
      </w:tr>
      <w:tr>
        <w:tc>
          <w:tcPr>
            <w:tcW w:type="pct" w:w="50%"/>
            <w:tcMar>
              <w:top w:type="dxa" w:w="80"/>
              <w:left w:type="dxa" w:w="100"/>
              <w:bottom w:type="dxa" w:w="80"/>
              <w:right w:type="dxa" w:w="100"/>
            </w:tcMar>
          </w:tcPr>
          <w:p>
            <w:r>
              <w:rPr>
                <w:b w:val="false"/>
                <w:bCs w:val="false"/>
                <w:color w:val="000000"/>
                <w:sz w:val="20"/>
                <w:szCs w:val="20"/>
              </w:rPr>
              <w:t xml:space="preserve">475.0</w:t>
            </w:r>
          </w:p>
        </w:tc>
        <w:tc>
          <w:tcPr>
            <w:tcW w:type="pct" w:w="50%"/>
            <w:tcMar>
              <w:top w:type="dxa" w:w="80"/>
              <w:left w:type="dxa" w:w="100"/>
              <w:bottom w:type="dxa" w:w="80"/>
              <w:right w:type="dxa" w:w="100"/>
            </w:tcMar>
          </w:tcPr>
          <w:p>
            <w:r>
              <w:rPr>
                <w:b w:val="false"/>
                <w:bCs w:val="false"/>
                <w:color w:val="000000"/>
                <w:sz w:val="20"/>
                <w:szCs w:val="20"/>
              </w:rPr>
              <w:t xml:space="preserve">0.008336</w:t>
            </w:r>
          </w:p>
        </w:tc>
      </w:tr>
      <w:tr>
        <w:tc>
          <w:tcPr>
            <w:tcW w:type="pct" w:w="50%"/>
            <w:tcMar>
              <w:top w:type="dxa" w:w="80"/>
              <w:left w:type="dxa" w:w="100"/>
              <w:bottom w:type="dxa" w:w="80"/>
              <w:right w:type="dxa" w:w="100"/>
            </w:tcMar>
          </w:tcPr>
          <w:p>
            <w:r>
              <w:rPr>
                <w:b w:val="false"/>
                <w:bCs w:val="false"/>
                <w:color w:val="000000"/>
                <w:sz w:val="20"/>
                <w:szCs w:val="20"/>
              </w:rPr>
              <w:t xml:space="preserve">480.0</w:t>
            </w:r>
          </w:p>
        </w:tc>
        <w:tc>
          <w:tcPr>
            <w:tcW w:type="pct" w:w="50%"/>
            <w:tcMar>
              <w:top w:type="dxa" w:w="80"/>
              <w:left w:type="dxa" w:w="100"/>
              <w:bottom w:type="dxa" w:w="80"/>
              <w:right w:type="dxa" w:w="100"/>
            </w:tcMar>
          </w:tcPr>
          <w:p>
            <w:r>
              <w:rPr>
                <w:b w:val="false"/>
                <w:bCs w:val="false"/>
                <w:color w:val="000000"/>
                <w:sz w:val="20"/>
                <w:szCs w:val="20"/>
              </w:rPr>
              <w:t xml:space="preserve">0.009912</w:t>
            </w:r>
          </w:p>
        </w:tc>
      </w:tr>
      <w:tr>
        <w:tc>
          <w:tcPr>
            <w:tcW w:type="pct" w:w="50%"/>
            <w:tcMar>
              <w:top w:type="dxa" w:w="80"/>
              <w:left w:type="dxa" w:w="100"/>
              <w:bottom w:type="dxa" w:w="80"/>
              <w:right w:type="dxa" w:w="100"/>
            </w:tcMar>
          </w:tcPr>
          <w:p>
            <w:r>
              <w:rPr>
                <w:b w:val="false"/>
                <w:bCs w:val="false"/>
                <w:color w:val="000000"/>
                <w:sz w:val="20"/>
                <w:szCs w:val="20"/>
              </w:rPr>
              <w:t xml:space="preserve">485.0</w:t>
            </w:r>
          </w:p>
        </w:tc>
        <w:tc>
          <w:tcPr>
            <w:tcW w:type="pct" w:w="50%"/>
            <w:tcMar>
              <w:top w:type="dxa" w:w="80"/>
              <w:left w:type="dxa" w:w="100"/>
              <w:bottom w:type="dxa" w:w="80"/>
              <w:right w:type="dxa" w:w="100"/>
            </w:tcMar>
          </w:tcPr>
          <w:p>
            <w:r>
              <w:rPr>
                <w:b w:val="false"/>
                <w:bCs w:val="false"/>
                <w:color w:val="000000"/>
                <w:sz w:val="20"/>
                <w:szCs w:val="20"/>
              </w:rPr>
              <w:t xml:space="preserve">0.011774</w:t>
            </w:r>
          </w:p>
        </w:tc>
      </w:tr>
      <w:tr>
        <w:tc>
          <w:tcPr>
            <w:tcW w:type="pct" w:w="50%"/>
            <w:tcMar>
              <w:top w:type="dxa" w:w="80"/>
              <w:left w:type="dxa" w:w="100"/>
              <w:bottom w:type="dxa" w:w="80"/>
              <w:right w:type="dxa" w:w="100"/>
            </w:tcMar>
          </w:tcPr>
          <w:p>
            <w:r>
              <w:rPr>
                <w:b w:val="false"/>
                <w:bCs w:val="false"/>
                <w:color w:val="000000"/>
                <w:sz w:val="20"/>
                <w:szCs w:val="20"/>
              </w:rPr>
              <w:t xml:space="preserve">490.0</w:t>
            </w:r>
          </w:p>
        </w:tc>
        <w:tc>
          <w:tcPr>
            <w:tcW w:type="pct" w:w="50%"/>
            <w:tcMar>
              <w:top w:type="dxa" w:w="80"/>
              <w:left w:type="dxa" w:w="100"/>
              <w:bottom w:type="dxa" w:w="80"/>
              <w:right w:type="dxa" w:w="100"/>
            </w:tcMar>
          </w:tcPr>
          <w:p>
            <w:r>
              <w:rPr>
                <w:b w:val="false"/>
                <w:bCs w:val="false"/>
                <w:color w:val="000000"/>
                <w:sz w:val="20"/>
                <w:szCs w:val="20"/>
              </w:rPr>
              <w:t xml:space="preserve">0.013971</w:t>
            </w:r>
          </w:p>
        </w:tc>
      </w:tr>
      <w:tr>
        <w:tc>
          <w:tcPr>
            <w:tcW w:type="pct" w:w="50%"/>
            <w:tcMar>
              <w:top w:type="dxa" w:w="80"/>
              <w:left w:type="dxa" w:w="100"/>
              <w:bottom w:type="dxa" w:w="80"/>
              <w:right w:type="dxa" w:w="100"/>
            </w:tcMar>
          </w:tcPr>
          <w:p>
            <w:r>
              <w:rPr>
                <w:b w:val="false"/>
                <w:bCs w:val="false"/>
                <w:color w:val="000000"/>
                <w:sz w:val="20"/>
                <w:szCs w:val="20"/>
              </w:rPr>
              <w:t xml:space="preserve">495.0</w:t>
            </w:r>
          </w:p>
        </w:tc>
        <w:tc>
          <w:tcPr>
            <w:tcW w:type="pct" w:w="50%"/>
            <w:tcMar>
              <w:top w:type="dxa" w:w="80"/>
              <w:left w:type="dxa" w:w="100"/>
              <w:bottom w:type="dxa" w:w="80"/>
              <w:right w:type="dxa" w:w="100"/>
            </w:tcMar>
          </w:tcPr>
          <w:p>
            <w:r>
              <w:rPr>
                <w:b w:val="false"/>
                <w:bCs w:val="false"/>
                <w:color w:val="000000"/>
                <w:sz w:val="20"/>
                <w:szCs w:val="20"/>
              </w:rPr>
              <w:t xml:space="preserve">0.016559</w:t>
            </w:r>
          </w:p>
        </w:tc>
      </w:tr>
      <w:tr>
        <w:tc>
          <w:tcPr>
            <w:tcW w:type="pct" w:w="50%"/>
            <w:tcMar>
              <w:top w:type="dxa" w:w="80"/>
              <w:left w:type="dxa" w:w="100"/>
              <w:bottom w:type="dxa" w:w="80"/>
              <w:right w:type="dxa" w:w="100"/>
            </w:tcMar>
          </w:tcPr>
          <w:p>
            <w:r>
              <w:rPr>
                <w:b w:val="false"/>
                <w:bCs w:val="false"/>
                <w:color w:val="000000"/>
                <w:sz w:val="20"/>
                <w:szCs w:val="20"/>
              </w:rPr>
              <w:t xml:space="preserve">500.0</w:t>
            </w:r>
          </w:p>
        </w:tc>
        <w:tc>
          <w:tcPr>
            <w:tcW w:type="pct" w:w="50%"/>
            <w:tcMar>
              <w:top w:type="dxa" w:w="80"/>
              <w:left w:type="dxa" w:w="100"/>
              <w:bottom w:type="dxa" w:w="80"/>
              <w:right w:type="dxa" w:w="100"/>
            </w:tcMar>
          </w:tcPr>
          <w:p>
            <w:r>
              <w:rPr>
                <w:b w:val="false"/>
                <w:bCs w:val="false"/>
                <w:color w:val="000000"/>
                <w:sz w:val="20"/>
                <w:szCs w:val="20"/>
              </w:rPr>
              <w:t xml:space="preserve">0.019603</w:t>
            </w:r>
          </w:p>
        </w:tc>
      </w:tr>
      <w:tr>
        <w:tc>
          <w:tcPr>
            <w:tcW w:type="pct" w:w="50%"/>
            <w:tcMar>
              <w:top w:type="dxa" w:w="80"/>
              <w:left w:type="dxa" w:w="100"/>
              <w:bottom w:type="dxa" w:w="80"/>
              <w:right w:type="dxa" w:w="100"/>
            </w:tcMar>
          </w:tcPr>
          <w:p>
            <w:r>
              <w:rPr>
                <w:b w:val="false"/>
                <w:bCs w:val="false"/>
                <w:color w:val="000000"/>
                <w:sz w:val="20"/>
                <w:szCs w:val="20"/>
              </w:rPr>
              <w:t xml:space="preserve">505.0</w:t>
            </w:r>
          </w:p>
        </w:tc>
        <w:tc>
          <w:tcPr>
            <w:tcW w:type="pct" w:w="50%"/>
            <w:tcMar>
              <w:top w:type="dxa" w:w="80"/>
              <w:left w:type="dxa" w:w="100"/>
              <w:bottom w:type="dxa" w:w="80"/>
              <w:right w:type="dxa" w:w="100"/>
            </w:tcMar>
          </w:tcPr>
          <w:p>
            <w:r>
              <w:rPr>
                <w:b w:val="false"/>
                <w:bCs w:val="false"/>
                <w:color w:val="000000"/>
                <w:sz w:val="20"/>
                <w:szCs w:val="20"/>
              </w:rPr>
              <w:t xml:space="preserve">0.023179</w:t>
            </w:r>
          </w:p>
        </w:tc>
      </w:tr>
      <w:tr>
        <w:tc>
          <w:tcPr>
            <w:tcW w:type="pct" w:w="50%"/>
            <w:tcMar>
              <w:top w:type="dxa" w:w="80"/>
              <w:left w:type="dxa" w:w="100"/>
              <w:bottom w:type="dxa" w:w="80"/>
              <w:right w:type="dxa" w:w="100"/>
            </w:tcMar>
          </w:tcPr>
          <w:p>
            <w:r>
              <w:rPr>
                <w:b w:val="false"/>
                <w:bCs w:val="false"/>
                <w:color w:val="000000"/>
                <w:sz w:val="20"/>
                <w:szCs w:val="20"/>
              </w:rPr>
              <w:t xml:space="preserve">510.0</w:t>
            </w:r>
          </w:p>
        </w:tc>
        <w:tc>
          <w:tcPr>
            <w:tcW w:type="pct" w:w="50%"/>
            <w:tcMar>
              <w:top w:type="dxa" w:w="80"/>
              <w:left w:type="dxa" w:w="100"/>
              <w:bottom w:type="dxa" w:w="80"/>
              <w:right w:type="dxa" w:w="100"/>
            </w:tcMar>
          </w:tcPr>
          <w:p>
            <w:r>
              <w:rPr>
                <w:b w:val="false"/>
                <w:bCs w:val="false"/>
                <w:color w:val="000000"/>
                <w:sz w:val="20"/>
                <w:szCs w:val="20"/>
              </w:rPr>
              <w:t xml:space="preserve">0.027375</w:t>
            </w:r>
          </w:p>
        </w:tc>
      </w:tr>
      <w:tr>
        <w:tc>
          <w:tcPr>
            <w:tcW w:type="pct" w:w="50%"/>
            <w:tcMar>
              <w:top w:type="dxa" w:w="80"/>
              <w:left w:type="dxa" w:w="100"/>
              <w:bottom w:type="dxa" w:w="80"/>
              <w:right w:type="dxa" w:w="100"/>
            </w:tcMar>
          </w:tcPr>
          <w:p>
            <w:r>
              <w:rPr>
                <w:b w:val="false"/>
                <w:bCs w:val="false"/>
                <w:color w:val="000000"/>
                <w:sz w:val="20"/>
                <w:szCs w:val="20"/>
              </w:rPr>
              <w:t xml:space="preserve">515.0</w:t>
            </w:r>
          </w:p>
        </w:tc>
        <w:tc>
          <w:tcPr>
            <w:tcW w:type="pct" w:w="50%"/>
            <w:tcMar>
              <w:top w:type="dxa" w:w="80"/>
              <w:left w:type="dxa" w:w="100"/>
              <w:bottom w:type="dxa" w:w="80"/>
              <w:right w:type="dxa" w:w="100"/>
            </w:tcMar>
          </w:tcPr>
          <w:p>
            <w:r>
              <w:rPr>
                <w:b w:val="false"/>
                <w:bCs w:val="false"/>
                <w:color w:val="000000"/>
                <w:sz w:val="20"/>
                <w:szCs w:val="20"/>
              </w:rPr>
              <w:t xml:space="preserve">0.032289</w:t>
            </w:r>
          </w:p>
        </w:tc>
      </w:tr>
      <w:tr>
        <w:tc>
          <w:tcPr>
            <w:tcW w:type="pct" w:w="50%"/>
            <w:tcMar>
              <w:top w:type="dxa" w:w="80"/>
              <w:left w:type="dxa" w:w="100"/>
              <w:bottom w:type="dxa" w:w="80"/>
              <w:right w:type="dxa" w:w="100"/>
            </w:tcMar>
          </w:tcPr>
          <w:p>
            <w:r>
              <w:rPr>
                <w:b w:val="false"/>
                <w:bCs w:val="false"/>
                <w:color w:val="000000"/>
                <w:sz w:val="20"/>
                <w:szCs w:val="20"/>
              </w:rPr>
              <w:t xml:space="preserve">520.0</w:t>
            </w:r>
          </w:p>
        </w:tc>
        <w:tc>
          <w:tcPr>
            <w:tcW w:type="pct" w:w="50%"/>
            <w:tcMar>
              <w:top w:type="dxa" w:w="80"/>
              <w:left w:type="dxa" w:w="100"/>
              <w:bottom w:type="dxa" w:w="80"/>
              <w:right w:type="dxa" w:w="100"/>
            </w:tcMar>
          </w:tcPr>
          <w:p>
            <w:r>
              <w:rPr>
                <w:b w:val="false"/>
                <w:bCs w:val="false"/>
                <w:color w:val="000000"/>
                <w:sz w:val="20"/>
                <w:szCs w:val="20"/>
              </w:rPr>
              <w:t xml:space="preserve">0.038037</w:t>
            </w:r>
          </w:p>
        </w:tc>
      </w:tr>
      <w:tr>
        <w:tc>
          <w:tcPr>
            <w:tcW w:type="pct" w:w="50%"/>
            <w:tcMar>
              <w:top w:type="dxa" w:w="80"/>
              <w:left w:type="dxa" w:w="100"/>
              <w:bottom w:type="dxa" w:w="80"/>
              <w:right w:type="dxa" w:w="100"/>
            </w:tcMar>
          </w:tcPr>
          <w:p>
            <w:r>
              <w:rPr>
                <w:b w:val="false"/>
                <w:bCs w:val="false"/>
                <w:color w:val="000000"/>
                <w:sz w:val="20"/>
                <w:szCs w:val="20"/>
              </w:rPr>
              <w:t xml:space="preserve">525.0</w:t>
            </w:r>
          </w:p>
        </w:tc>
        <w:tc>
          <w:tcPr>
            <w:tcW w:type="pct" w:w="50%"/>
            <w:tcMar>
              <w:top w:type="dxa" w:w="80"/>
              <w:left w:type="dxa" w:w="100"/>
              <w:bottom w:type="dxa" w:w="80"/>
              <w:right w:type="dxa" w:w="100"/>
            </w:tcMar>
          </w:tcPr>
          <w:p>
            <w:r>
              <w:rPr>
                <w:b w:val="false"/>
                <w:bCs w:val="false"/>
                <w:color w:val="000000"/>
                <w:sz w:val="20"/>
                <w:szCs w:val="20"/>
              </w:rPr>
              <w:t xml:space="preserve">0.044752</w:t>
            </w:r>
          </w:p>
        </w:tc>
      </w:tr>
      <w:tr>
        <w:tc>
          <w:tcPr>
            <w:tcW w:type="pct" w:w="50%"/>
            <w:tcMar>
              <w:top w:type="dxa" w:w="80"/>
              <w:left w:type="dxa" w:w="100"/>
              <w:bottom w:type="dxa" w:w="80"/>
              <w:right w:type="dxa" w:w="100"/>
            </w:tcMar>
          </w:tcPr>
          <w:p>
            <w:r>
              <w:rPr>
                <w:b w:val="false"/>
                <w:bCs w:val="false"/>
                <w:color w:val="000000"/>
                <w:sz w:val="20"/>
                <w:szCs w:val="20"/>
              </w:rPr>
              <w:t xml:space="preserve">530.0</w:t>
            </w:r>
          </w:p>
        </w:tc>
        <w:tc>
          <w:tcPr>
            <w:tcW w:type="pct" w:w="50%"/>
            <w:tcMar>
              <w:top w:type="dxa" w:w="80"/>
              <w:left w:type="dxa" w:w="100"/>
              <w:bottom w:type="dxa" w:w="80"/>
              <w:right w:type="dxa" w:w="100"/>
            </w:tcMar>
          </w:tcPr>
          <w:p>
            <w:r>
              <w:rPr>
                <w:b w:val="false"/>
                <w:bCs w:val="false"/>
                <w:color w:val="000000"/>
                <w:sz w:val="20"/>
                <w:szCs w:val="20"/>
              </w:rPr>
              <w:t xml:space="preserve">0.052585</w:t>
            </w:r>
          </w:p>
        </w:tc>
      </w:tr>
    </w:tbl>
    <w:p>
      <w:pPr>
        <w:spacing w:after="200" w:line="300"/>
      </w:pPr>
      <w:r>
        <w:rPr>
          <w:sz w:val="22"/>
          <w:szCs w:val="22"/>
        </w:rPr>
        <w:t xml:space="preserve"/>
      </w:r>
    </w:p>
    <w:p>
      <w:pPr>
        <w:spacing w:after="200" w:line="300"/>
      </w:pPr>
      <w:r>
        <w:rPr>
          <w:sz w:val="22"/>
          <w:szCs w:val="22"/>
        </w:rPr>
        <w:t xml:space="preserve">Ramberg-Osgood has no memory at all -- only the current load matters, not how it got there -- which is exactly why it's the right choice for Mode B, where nothing carries forward between positions. Its parameters follow the FFS 579-1 convention.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c>
          <w:tcPr>
            <w:tcW w:type="pct" w:w="35%"/>
            <w:shd w:fill="1E3A5F" w:val="clear"/>
            <w:tcMar>
              <w:top w:type="dxa" w:w="80"/>
              <w:left w:type="dxa" w:w="100"/>
              <w:bottom w:type="dxa" w:w="80"/>
              <w:right w:type="dxa" w:w="100"/>
            </w:tcMar>
          </w:tcPr>
          <w:p>
            <w:r>
              <w:rPr>
                <w:b/>
                <w:bCs/>
                <w:color w:val="FFFFFF"/>
                <w:sz w:val="20"/>
                <w:szCs w:val="20"/>
              </w:rPr>
              <w:t xml:space="preserve">Parameter</w:t>
            </w:r>
          </w:p>
        </w:tc>
        <w:tc>
          <w:tcPr>
            <w:tcW w:type="pct" w:w="25%"/>
            <w:shd w:fill="1E3A5F" w:val="clear"/>
            <w:tcMar>
              <w:top w:type="dxa" w:w="80"/>
              <w:left w:type="dxa" w:w="100"/>
              <w:bottom w:type="dxa" w:w="80"/>
              <w:right w:type="dxa" w:w="100"/>
            </w:tcMar>
          </w:tcPr>
          <w:p>
            <w:r>
              <w:rPr>
                <w:b/>
                <w:bCs/>
                <w:color w:val="FFFFFF"/>
                <w:sz w:val="20"/>
                <w:szCs w:val="20"/>
              </w:rPr>
              <w:t xml:space="preserve">Value</w:t>
            </w:r>
          </w:p>
        </w:tc>
        <w:tc>
          <w:tcPr>
            <w:tcW w:type="pct" w:w="40%"/>
            <w:shd w:fill="1E3A5F" w:val="clear"/>
            <w:tcMar>
              <w:top w:type="dxa" w:w="80"/>
              <w:left w:type="dxa" w:w="100"/>
              <w:bottom w:type="dxa" w:w="80"/>
              <w:right w:type="dxa" w:w="100"/>
            </w:tcMar>
          </w:tcPr>
          <w:p>
            <w:r>
              <w:rPr>
                <w:b/>
                <w:bCs/>
                <w:color w:val="FFFFFF"/>
                <w:sz w:val="20"/>
                <w:szCs w:val="20"/>
              </w:rPr>
              <w:t xml:space="preserve">Note</w:t>
            </w:r>
          </w:p>
        </w:tc>
      </w:tr>
      <w:tr>
        <w:tc>
          <w:tcPr>
            <w:tcW w:type="pct" w:w="35%"/>
            <w:tcMar>
              <w:top w:type="dxa" w:w="80"/>
              <w:left w:type="dxa" w:w="100"/>
              <w:bottom w:type="dxa" w:w="80"/>
              <w:right w:type="dxa" w:w="100"/>
            </w:tcMar>
          </w:tcPr>
          <w:p>
            <w:r>
              <w:rPr>
                <w:b w:val="false"/>
                <w:bCs w:val="false"/>
                <w:color w:val="000000"/>
                <w:sz w:val="20"/>
                <w:szCs w:val="20"/>
              </w:rPr>
              <w:t xml:space="preserve">E (Young's modulus)</w:t>
            </w:r>
          </w:p>
        </w:tc>
        <w:tc>
          <w:tcPr>
            <w:tcW w:type="pct" w:w="25%"/>
            <w:tcMar>
              <w:top w:type="dxa" w:w="80"/>
              <w:left w:type="dxa" w:w="100"/>
              <w:bottom w:type="dxa" w:w="80"/>
              <w:right w:type="dxa" w:w="100"/>
            </w:tcMar>
          </w:tcPr>
          <w:p>
            <w:r>
              <w:rPr>
                <w:b w:val="false"/>
                <w:bCs w:val="false"/>
                <w:color w:val="000000"/>
                <w:sz w:val="20"/>
                <w:szCs w:val="20"/>
              </w:rPr>
              <w:t xml:space="preserve">207 GPa</w:t>
            </w:r>
          </w:p>
        </w:tc>
        <w:tc>
          <w:tcPr>
            <w:tcW w:type="pct" w:w="40%"/>
            <w:tcMar>
              <w:top w:type="dxa" w:w="80"/>
              <w:left w:type="dxa" w:w="100"/>
              <w:bottom w:type="dxa" w:w="80"/>
              <w:right w:type="dxa" w:w="100"/>
            </w:tcMar>
          </w:tcPr>
          <w:p>
            <w:r>
              <w:rPr>
                <w:b w:val="false"/>
                <w:bCs w:val="false"/>
                <w:color w:val="000000"/>
                <w:sz w:val="20"/>
                <w:szCs w:val="20"/>
              </w:rPr>
              <w:t xml:space="preserve">Deliberately different from J2's 210 GPa -- not an inconsistency</w:t>
            </w:r>
          </w:p>
        </w:tc>
      </w:tr>
      <w:tr>
        <w:tc>
          <w:tcPr>
            <w:tcW w:type="pct" w:w="35%"/>
            <w:tcMar>
              <w:top w:type="dxa" w:w="80"/>
              <w:left w:type="dxa" w:w="100"/>
              <w:bottom w:type="dxa" w:w="80"/>
              <w:right w:type="dxa" w:w="100"/>
            </w:tcMar>
          </w:tcPr>
          <w:p>
            <w:r>
              <w:rPr>
                <w:b w:val="false"/>
                <w:bCs w:val="false"/>
                <w:color w:val="000000"/>
                <w:sz w:val="20"/>
                <w:szCs w:val="20"/>
              </w:rPr>
              <w:t xml:space="preserve">sig_ys (reference/yield stress)</w:t>
            </w:r>
          </w:p>
        </w:tc>
        <w:tc>
          <w:tcPr>
            <w:tcW w:type="pct" w:w="25%"/>
            <w:tcMar>
              <w:top w:type="dxa" w:w="80"/>
              <w:left w:type="dxa" w:w="100"/>
              <w:bottom w:type="dxa" w:w="80"/>
              <w:right w:type="dxa" w:w="100"/>
            </w:tcMar>
          </w:tcPr>
          <w:p>
            <w:r>
              <w:rPr>
                <w:b w:val="false"/>
                <w:bCs w:val="false"/>
                <w:color w:val="000000"/>
                <w:sz w:val="20"/>
                <w:szCs w:val="20"/>
              </w:rPr>
              <w:t xml:space="preserve">450 MPa</w:t>
            </w:r>
          </w:p>
        </w:tc>
        <w:tc>
          <w:tcPr>
            <w:tcW w:type="pct" w:w="40%"/>
            <w:tcMar>
              <w:top w:type="dxa" w:w="80"/>
              <w:left w:type="dxa" w:w="100"/>
              <w:bottom w:type="dxa" w:w="80"/>
              <w:right w:type="dxa" w:w="100"/>
            </w:tcMar>
          </w:tcPr>
          <w:p>
            <w:r>
              <w:rPr>
                <w:b w:val="false"/>
                <w:bCs w:val="false"/>
                <w:color w:val="000000"/>
                <w:sz w:val="20"/>
                <w:szCs w:val="20"/>
              </w:rPr>
              <w:t xml:space="preserve">SMYS, API 5L X-grade convention</w:t>
            </w:r>
          </w:p>
        </w:tc>
      </w:tr>
      <w:tr>
        <w:tc>
          <w:tcPr>
            <w:tcW w:type="pct" w:w="35%"/>
            <w:tcMar>
              <w:top w:type="dxa" w:w="80"/>
              <w:left w:type="dxa" w:w="100"/>
              <w:bottom w:type="dxa" w:w="80"/>
              <w:right w:type="dxa" w:w="100"/>
            </w:tcMar>
          </w:tcPr>
          <w:p>
            <w:r>
              <w:rPr>
                <w:b w:val="false"/>
                <w:bCs w:val="false"/>
                <w:color w:val="000000"/>
                <w:sz w:val="20"/>
                <w:szCs w:val="20"/>
              </w:rPr>
              <w:t xml:space="preserve">N_RO (hardening exponent)</w:t>
            </w:r>
          </w:p>
        </w:tc>
        <w:tc>
          <w:tcPr>
            <w:tcW w:type="pct" w:w="25%"/>
            <w:tcMar>
              <w:top w:type="dxa" w:w="80"/>
              <w:left w:type="dxa" w:w="100"/>
              <w:bottom w:type="dxa" w:w="80"/>
              <w:right w:type="dxa" w:w="100"/>
            </w:tcMar>
          </w:tcPr>
          <w:p>
            <w:r>
              <w:rPr>
                <w:b w:val="false"/>
                <w:bCs w:val="false"/>
                <w:color w:val="000000"/>
                <w:sz w:val="20"/>
                <w:szCs w:val="20"/>
              </w:rPr>
              <w:t xml:space="preserve">20.59</w:t>
            </w:r>
          </w:p>
        </w:tc>
        <w:tc>
          <w:tcPr>
            <w:tcW w:type="pct" w:w="40%"/>
            <w:tcMar>
              <w:top w:type="dxa" w:w="80"/>
              <w:left w:type="dxa" w:w="100"/>
              <w:bottom w:type="dxa" w:w="80"/>
              <w:right w:type="dxa" w:w="100"/>
            </w:tcMar>
          </w:tcPr>
          <w:p>
            <w:r>
              <w:rPr>
                <w:b w:val="false"/>
                <w:bCs w:val="false"/>
                <w:color w:val="000000"/>
                <w:sz w:val="20"/>
                <w:szCs w:val="20"/>
              </w:rPr>
              <w:t xml:space="preserve">Derived, FFS 579-1 Eq 2E.49</w:t>
            </w:r>
          </w:p>
        </w:tc>
      </w:tr>
      <w:tr>
        <w:tc>
          <w:tcPr>
            <w:tcW w:type="pct" w:w="35%"/>
            <w:tcMar>
              <w:top w:type="dxa" w:w="80"/>
              <w:left w:type="dxa" w:w="100"/>
              <w:bottom w:type="dxa" w:w="80"/>
              <w:right w:type="dxa" w:w="100"/>
            </w:tcMar>
          </w:tcPr>
          <w:p>
            <w:r>
              <w:rPr>
                <w:b w:val="false"/>
                <w:bCs w:val="false"/>
                <w:color w:val="000000"/>
                <w:sz w:val="20"/>
                <w:szCs w:val="20"/>
              </w:rPr>
              <w:t xml:space="preserve">alpha_DNV (hardening coefficient)</w:t>
            </w:r>
          </w:p>
        </w:tc>
        <w:tc>
          <w:tcPr>
            <w:tcW w:type="pct" w:w="25%"/>
            <w:tcMar>
              <w:top w:type="dxa" w:w="80"/>
              <w:left w:type="dxa" w:w="100"/>
              <w:bottom w:type="dxa" w:w="80"/>
              <w:right w:type="dxa" w:w="100"/>
            </w:tcMar>
          </w:tcPr>
          <w:p>
            <w:r>
              <w:rPr>
                <w:b w:val="false"/>
                <w:bCs w:val="false"/>
                <w:color w:val="000000"/>
                <w:sz w:val="20"/>
                <w:szCs w:val="20"/>
              </w:rPr>
              <w:t xml:space="preserve">1.300</w:t>
            </w:r>
          </w:p>
        </w:tc>
        <w:tc>
          <w:tcPr>
            <w:tcW w:type="pct" w:w="40%"/>
            <w:tcMar>
              <w:top w:type="dxa" w:w="80"/>
              <w:left w:type="dxa" w:w="100"/>
              <w:bottom w:type="dxa" w:w="80"/>
              <w:right w:type="dxa" w:w="100"/>
            </w:tcMar>
          </w:tcPr>
          <w:p>
            <w:r>
              <w:rPr>
                <w:b w:val="false"/>
                <w:bCs w:val="false"/>
                <w:color w:val="000000"/>
                <w:sz w:val="20"/>
                <w:szCs w:val="20"/>
              </w:rPr>
              <w:t xml:space="preserve">Verified by direct calculation -- engine file states 2.278 elsewhere in error</w:t>
            </w:r>
          </w:p>
        </w:tc>
      </w:tr>
      <w:tr>
        <w:tc>
          <w:tcPr>
            <w:tcW w:type="pct" w:w="35%"/>
            <w:tcMar>
              <w:top w:type="dxa" w:w="80"/>
              <w:left w:type="dxa" w:w="100"/>
              <w:bottom w:type="dxa" w:w="80"/>
              <w:right w:type="dxa" w:w="100"/>
            </w:tcMar>
          </w:tcPr>
          <w:p>
            <w:r>
              <w:rPr>
                <w:b w:val="false"/>
                <w:bCs w:val="false"/>
                <w:color w:val="000000"/>
                <w:sz w:val="20"/>
                <w:szCs w:val="20"/>
              </w:rPr>
              <w:t xml:space="preserve">0.2% proof stress (check)</w:t>
            </w:r>
          </w:p>
        </w:tc>
        <w:tc>
          <w:tcPr>
            <w:tcW w:type="pct" w:w="25%"/>
            <w:tcMar>
              <w:top w:type="dxa" w:w="80"/>
              <w:left w:type="dxa" w:w="100"/>
              <w:bottom w:type="dxa" w:w="80"/>
              <w:right w:type="dxa" w:w="100"/>
            </w:tcMar>
          </w:tcPr>
          <w:p>
            <w:r>
              <w:rPr>
                <w:b w:val="false"/>
                <w:bCs w:val="false"/>
                <w:color w:val="000000"/>
                <w:sz w:val="20"/>
                <w:szCs w:val="20"/>
              </w:rPr>
              <w:t xml:space="preserve">442.5 MPa</w:t>
            </w:r>
          </w:p>
        </w:tc>
        <w:tc>
          <w:tcPr>
            <w:tcW w:type="pct" w:w="40%"/>
            <w:tcMar>
              <w:top w:type="dxa" w:w="80"/>
              <w:left w:type="dxa" w:w="100"/>
              <w:bottom w:type="dxa" w:w="80"/>
              <w:right w:type="dxa" w:w="100"/>
            </w:tcMar>
          </w:tcPr>
          <w:p>
            <w:r>
              <w:rPr>
                <w:b w:val="false"/>
                <w:bCs w:val="false"/>
                <w:color w:val="000000"/>
                <w:sz w:val="20"/>
                <w:szCs w:val="20"/>
              </w:rPr>
              <w:t xml:space="preserve">Close to but not exactly the 450 MPa SMYS target -- expected, not an error</w:t>
            </w:r>
          </w:p>
        </w:tc>
      </w:tr>
    </w:tbl>
    <w:p>
      <w:pPr>
        <w:spacing w:after="200" w:line="300"/>
      </w:pPr>
      <w:r>
        <w:rPr>
          <w:sz w:val="22"/>
          <w:szCs w:val="22"/>
        </w:rPr>
        <w:t xml:space="preserve">While preparing this table, the engine file itself was found to state two different values for alpha_DNV in two separate docstrings for what should be an identical formula -- 2.278 in one place, 1.300 in another. Direct calculation confirms 1.300 is correct, and that is the value used here. The engine file has not been modified -- it remains external and unchanged throughout this project -- so the discrepancy still exists there; this note exists so it isn't rediscovered as a surprise later.</w:t>
      </w:r>
    </w:p>
    <w:p>
      <w:pPr>
        <w:spacing w:after="200" w:line="300"/>
      </w:pPr>
      <w:r>
        <w:rPr>
          <w:sz w:val="22"/>
          <w:szCs w:val="22"/>
        </w:rPr>
        <w:t xml:space="preserve">Alongside the two materials, this file also carries steel density, 7850 kilograms per cubic metre, and gravity, 9.81 metres per second squared, both used for self-weight loading regardless of which material is active.</w:t>
      </w:r>
    </w:p>
    <w:p>
      <w:pPr>
        <w:pStyle w:val="Heading2"/>
        <w:spacing w:after="100" w:before="200"/>
      </w:pPr>
      <w:r>
        <w:rPr>
          <w:b/>
          <w:bCs/>
        </w:rPr>
        <w:t xml:space="preserve">Section integration</w:t>
      </w:r>
    </w:p>
    <w:p>
      <w:pPr>
        <w:spacing w:after="200" w:line="300"/>
      </w:pPr>
      <w:r>
        <w:rPr>
          <w:sz w:val="22"/>
          <w:szCs w:val="22"/>
        </w:rPr>
        <w:t xml:space="preserve">The default section type is 'polar' -- eight angular integration points, matching Abaqus's own default for B31 and PIPE elements, which makes it the right default for comparing against a typical Abaqus run. A second option, 'fibre', integrates through the wall thickness and converges to a more accurate answer against a shell reference model, but does not reproduce Abaqus's coarser default behaviour -- so it stays available, not default, with its own point count that only matters when explicitly selected.</w:t>
      </w:r>
    </w:p>
    <w:p>
      <w:pPr>
        <w:pStyle w:val="Heading2"/>
        <w:spacing w:after="100" w:before="200"/>
      </w:pPr>
      <w:r>
        <w:rPr>
          <w:b/>
          <w:bCs/>
        </w:rPr>
        <w:t xml:space="preserve">Solver constants</w:t>
      </w:r>
    </w:p>
    <w:p>
      <w:pPr>
        <w:spacing w:after="200" w:line="300"/>
      </w:pPr>
      <w:r>
        <w:rPr>
          <w:sz w:val="22"/>
          <w:szCs w:val="22"/>
        </w:rPr>
        <w:t xml:space="preserve">The remaining values control how the Newton solve steps through load increments and how firmly contact is enforced -- a higher penalty and more increments on the first step, since it starts from nothing and has the furthest to travel, and a Tikhonov regularization multiplier, defaulted to zero, validated separately as a way to stabilise the linear solve without adding any real force. There used to be a parameter here called k_spring, a bilateral spring meant to stabilise contact release. It was tested, made results worse once it interacted with path-dependent plasticity, and was removed -- it is not present in this file even as a disabled default, and should not be reintroduced without a specific reason to revisit that finding.</w:t>
      </w:r>
    </w:p>
    <w:p>
      <w:pPr>
        <w:pStyle w:val="Heading1"/>
        <w:spacing w:after="150" w:before="300"/>
      </w:pPr>
      <w:r>
        <w:rPr>
          <w:b/>
          <w:bCs/>
        </w:rPr>
        <w:t xml:space="preserve">Algorithm, in plain language</w:t>
      </w:r>
    </w:p>
    <w:p>
      <w:pPr>
        <w:spacing w:after="200" w:line="300"/>
      </w:pPr>
      <w:r>
        <w:rPr>
          <w:sz w:val="22"/>
          <w:szCs w:val="22"/>
        </w:rPr>
        <w:t xml:space="preserve">When any other module imports config.py, here is what happens, in order. First, config.py works out where it itself lives on disk and looks for slay_config.yaml sitting right next to it -- not wherever the program happens to be run from, so behaviour doesn't depend on the working directory. It opens that file and parses it as YAML.</w:t>
      </w:r>
    </w:p>
    <w:p>
      <w:pPr>
        <w:spacing w:after="200" w:line="300"/>
      </w:pPr>
      <w:r>
        <w:rPr>
          <w:sz w:val="22"/>
          <w:szCs w:val="22"/>
        </w:rPr>
        <w:t xml:space="preserve">If the file isn't there, or doesn't parse as valid YAML, this fails immediately and loudly, naming the problem, rather than falling back to a hidden set of built-in defaults -- the whole point of moving these numbers into their own file is that the file becomes the one true source, so a missing or broken file must never be silently papered over.</w:t>
      </w:r>
    </w:p>
    <w:p>
      <w:pPr>
        <w:spacing w:after="200" w:line="300"/>
      </w:pPr>
      <w:r>
        <w:rPr>
          <w:sz w:val="22"/>
          <w:szCs w:val="22"/>
        </w:rPr>
        <w:t xml:space="preserve">Once parsed, it checks that every expected section is present -- the reference pipeline numbers, the stinger and roller numbers, the mesh setting, both materials, the physical constants, the section-integration choices, and the solver constants. Any missing section fails immediately, naming exactly which one.</w:t>
      </w:r>
    </w:p>
    <w:p>
      <w:pPr>
        <w:spacing w:after="200" w:line="300"/>
      </w:pPr>
      <w:r>
        <w:rPr>
          <w:sz w:val="22"/>
          <w:szCs w:val="22"/>
        </w:rPr>
        <w:t xml:space="preserve">Most values are then unpacked directly, a straight one-to-one copy from the YAML into a plain named constant. One value needs real computation rather than a copy: the one-sided-roller rule. Here the loader expands "all SR rollers" into the actual roller names, using the roller count already unpacked from the same file, and combines that with the explicit VR1/VR2 entry to produce the final concrete set. Once that's done, every value -- copied or resolved -- is exposed under the same name every other module already expects to import.</w:t>
      </w:r>
    </w:p>
    <w:p>
      <w:pPr>
        <w:pStyle w:val="Heading1"/>
        <w:spacing w:after="150" w:before="300"/>
      </w:pPr>
      <w:r>
        <w:rPr>
          <w:b/>
          <w:bCs/>
        </w:rPr>
        <w:t xml:space="preserve">Accompanying files</w:t>
      </w:r>
    </w:p>
    <w:p>
      <w:pPr>
        <w:spacing w:after="200" w:line="300"/>
      </w:pPr>
      <w:r>
        <w:rPr>
          <w:sz w:val="22"/>
          <w:szCs w:val="22"/>
        </w:rPr>
        <w:t xml:space="preserve">slay_config.yaml -- the actual proposed defaults file, holding every value described above including the corrected roller count, corrected one-sided-roller rule, and corrected alpha_DNV.</w:t>
      </w:r>
    </w:p>
    <w:p>
      <w:pPr>
        <w:spacing w:after="200" w:line="300"/>
      </w:pPr>
      <w:r>
        <w:rPr>
          <w:sz w:val="22"/>
          <w:szCs w:val="22"/>
        </w:rPr>
        <w:t xml:space="preserve">slay_config_loader_flow.mermaid -- the flowchart of the algorithm above: locate, parse, validate section-by-section (three distinct loud failure points), unpack, resolve the one-sided rule, expose.</w:t>
      </w:r>
    </w:p>
    <w:p>
      <w:pPr>
        <w:pStyle w:val="Heading1"/>
        <w:spacing w:after="150" w:before="300"/>
      </w:pPr>
      <w:r>
        <w:rPr>
          <w:b/>
          <w:bCs/>
        </w:rPr>
        <w:t xml:space="preserve">Review status</w:t>
      </w:r>
    </w:p>
    <w:p>
      <w:pPr>
        <w:spacing w:after="100" w:before="100"/>
      </w:pPr>
      <w:r>
        <w:rPr>
          <w:b/>
          <w:bCs/>
          <w:i/>
          <w:iCs/>
          <w:color w:val="1E3A5F"/>
          <w:sz w:val="20"/>
          <w:szCs w:val="20"/>
        </w:rPr>
        <w:t xml:space="preserve">AGREED. Algorithm, diagram, and data file reviewed across three rounds -- material tables added, YAML-vs-Python decision made, roller-count default corrected, one-sided-roller rule corrected and generalised to scale with n_sr. Ready to proceed to code.</w:t>
      </w:r>
    </w:p>
    <w:p>
      <w:pPr>
        <w:pStyle w:val="Heading1"/>
        <w:spacing w:after="150" w:before="300"/>
      </w:pPr>
      <w:r>
        <w:rPr>
          <w:b/>
          <w:bCs/>
        </w:rPr>
        <w:t xml:space="preserve">Action log</w:t>
      </w:r>
    </w:p>
    <w:p>
      <w:pPr>
        <w:spacing w:after="100" w:before="100"/>
      </w:pPr>
      <w:r>
        <w:rPr>
          <w:b w:val="false"/>
          <w:bCs w:val="false"/>
          <w:i/>
          <w:iCs/>
          <w:color w:val="666666"/>
          <w:sz w:val="20"/>
          <w:szCs w:val="20"/>
        </w:rPr>
        <w:t xml:space="preserve">12 Aug 2026 -- revision 1: initial spoken-language spec, Python-constants design, submitted for review.</w:t>
      </w:r>
    </w:p>
    <w:p>
      <w:pPr>
        <w:spacing w:after="100" w:before="100"/>
      </w:pPr>
      <w:r>
        <w:rPr>
          <w:b w:val="false"/>
          <w:bCs w:val="false"/>
          <w:i/>
          <w:iCs/>
          <w:color w:val="666666"/>
          <w:sz w:val="20"/>
          <w:szCs w:val="20"/>
        </w:rPr>
        <w:t xml:space="preserve">12 Aug 2026 -- revision 2: reviewer requested the Abaqus material table and asked about YAML; material tables added with data verified directly against nlfea_v4.py (one internal documentation discrepancy found in that file, alpha_DNV, corrected in this document only); YAML-for-defaults question raised as an open decision rather than picked unilaterally.</w:t>
      </w:r>
    </w:p>
    <w:p>
      <w:pPr>
        <w:spacing w:after="100" w:before="100"/>
      </w:pPr>
      <w:r>
        <w:rPr>
          <w:b w:val="false"/>
          <w:bCs w:val="false"/>
          <w:i/>
          <w:iCs/>
          <w:color w:val="666666"/>
          <w:sz w:val="20"/>
          <w:szCs w:val="20"/>
        </w:rPr>
        <w:t xml:space="preserve">12 Aug 2026 -- revision 3: reviewer decided defaults move to YAML. Loader algorithm written, flowchart and proposed slay_config.yaml produced.</w:t>
      </w:r>
    </w:p>
    <w:p>
      <w:pPr>
        <w:spacing w:after="100" w:before="100"/>
      </w:pPr>
      <w:r>
        <w:rPr>
          <w:b w:val="false"/>
          <w:bCs w:val="false"/>
          <w:i/>
          <w:iCs/>
          <w:color w:val="666666"/>
          <w:sz w:val="20"/>
          <w:szCs w:val="20"/>
        </w:rPr>
        <w:t xml:space="preserve">12 Aug 2026 -- reviewer corrected one-sided-roller default: all SR rollers are one-sided, not just VR1/VR2 as originally drafted. Data file corrected to express this as a rule (scales with n_sr) rather than a fixed list. Flowchart updated to show the loader resolving that rule at load time -- the one piece of real computation in an otherwise straight load-and-copy module.</w:t>
      </w:r>
    </w:p>
    <w:p>
      <w:pPr>
        <w:spacing w:after="100" w:before="100"/>
      </w:pPr>
      <w:r>
        <w:rPr>
          <w:b w:val="false"/>
          <w:bCs w:val="false"/>
          <w:i/>
          <w:iCs/>
          <w:color w:val="666666"/>
          <w:sz w:val="20"/>
          <w:szCs w:val="20"/>
        </w:rPr>
        <w:t xml:space="preserve">12 Aug 2026 -- finalised. This document supersedes all prior revision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2026-08-12T17:28:39.940Z</dcterms:created>
  <dcterms:modified xsi:type="dcterms:W3CDTF">2026-08-12T17:28:39.958Z</dcterms:modified>
</cp:coreProperties>
</file>

<file path=docProps/custom.xml><?xml version="1.0" encoding="utf-8"?>
<Properties xmlns="http://schemas.openxmlformats.org/officeDocument/2006/custom-properties" xmlns:vt="http://schemas.openxmlformats.org/officeDocument/2006/docPropsVTypes"/>
</file>