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5A800" w14:textId="0BBC6CA7" w:rsidR="004969CE" w:rsidRPr="00ED3AFA" w:rsidRDefault="00ED3AFA" w:rsidP="00ED3AFA">
      <w:pPr>
        <w:rPr>
          <w:sz w:val="28"/>
          <w:szCs w:val="28"/>
        </w:rPr>
      </w:pPr>
      <w:r w:rsidRPr="00ED3AFA">
        <w:rPr>
          <w:sz w:val="28"/>
          <w:szCs w:val="28"/>
        </w:rPr>
        <w:t>Experiment – 8:</w:t>
      </w:r>
      <w:r w:rsidRPr="00ED3AFA">
        <w:rPr>
          <w:sz w:val="28"/>
          <w:szCs w:val="28"/>
        </w:rPr>
        <w:t xml:space="preserve">   </w:t>
      </w:r>
      <w:r w:rsidRPr="00ED3AFA">
        <w:rPr>
          <w:sz w:val="28"/>
          <w:szCs w:val="28"/>
        </w:rPr>
        <w:t>Laplace Transform, Inverse Transform, ROC and Stability</w:t>
      </w:r>
    </w:p>
    <w:p w14:paraId="284CB5B1" w14:textId="22D25890" w:rsidR="00ED3AFA" w:rsidRDefault="00ED3AFA" w:rsidP="00ED3AFA">
      <w:pPr>
        <w:rPr>
          <w:sz w:val="28"/>
          <w:szCs w:val="28"/>
        </w:rPr>
      </w:pPr>
      <w:r w:rsidRPr="00ED3AFA">
        <w:rPr>
          <w:sz w:val="28"/>
          <w:szCs w:val="28"/>
        </w:rPr>
        <w:t>ii) To determine the inverse Laplace transform of a given frequency-domain representation and</w:t>
      </w:r>
      <w:r w:rsidRPr="00ED3AFA">
        <w:rPr>
          <w:sz w:val="28"/>
          <w:szCs w:val="28"/>
        </w:rPr>
        <w:t xml:space="preserve"> </w:t>
      </w:r>
      <w:r w:rsidRPr="00ED3AFA">
        <w:rPr>
          <w:sz w:val="28"/>
          <w:szCs w:val="28"/>
        </w:rPr>
        <w:t>reconstruct the corresponding time-domain signal.</w:t>
      </w:r>
    </w:p>
    <w:p w14:paraId="22F5A584" w14:textId="77777777" w:rsidR="00ED3AFA" w:rsidRDefault="00ED3AFA" w:rsidP="00ED3AFA">
      <w:pPr>
        <w:rPr>
          <w:sz w:val="28"/>
          <w:szCs w:val="28"/>
        </w:rPr>
      </w:pPr>
    </w:p>
    <w:p w14:paraId="32C9F364" w14:textId="3C61DAE2" w:rsidR="00ED3AFA" w:rsidRDefault="00ED3AFA" w:rsidP="00ED3AFA">
      <w:pPr>
        <w:rPr>
          <w:sz w:val="28"/>
          <w:szCs w:val="28"/>
        </w:rPr>
      </w:pPr>
      <w:r w:rsidRPr="00ED3AFA">
        <w:rPr>
          <w:sz w:val="28"/>
          <w:szCs w:val="28"/>
        </w:rPr>
        <w:drawing>
          <wp:inline distT="0" distB="0" distL="0" distR="0" wp14:anchorId="1116D5B7" wp14:editId="5A52F461">
            <wp:extent cx="5731510" cy="2915920"/>
            <wp:effectExtent l="0" t="0" r="2540" b="0"/>
            <wp:docPr id="8729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9853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5BF0" w14:textId="77777777" w:rsidR="00ED3AFA" w:rsidRDefault="00ED3AFA" w:rsidP="00ED3AFA">
      <w:pPr>
        <w:rPr>
          <w:sz w:val="28"/>
          <w:szCs w:val="28"/>
        </w:rPr>
      </w:pPr>
    </w:p>
    <w:p w14:paraId="7A7EFEFD" w14:textId="670BE06A" w:rsidR="00ED3AFA" w:rsidRDefault="00ED3AFA" w:rsidP="00ED3AFA">
      <w:pPr>
        <w:rPr>
          <w:sz w:val="28"/>
          <w:szCs w:val="28"/>
        </w:rPr>
      </w:pPr>
      <w:r w:rsidRPr="00ED3AFA">
        <w:rPr>
          <w:sz w:val="28"/>
          <w:szCs w:val="28"/>
        </w:rPr>
        <w:t xml:space="preserve">(iii) To determine the Region of Convergence (ROC) of Laplace transforms and </w:t>
      </w:r>
      <w:proofErr w:type="spellStart"/>
      <w:r w:rsidRPr="00ED3AFA">
        <w:rPr>
          <w:sz w:val="28"/>
          <w:szCs w:val="28"/>
        </w:rPr>
        <w:t>analyze</w:t>
      </w:r>
      <w:proofErr w:type="spellEnd"/>
      <w:r>
        <w:rPr>
          <w:sz w:val="28"/>
          <w:szCs w:val="28"/>
        </w:rPr>
        <w:t xml:space="preserve"> </w:t>
      </w:r>
      <w:r w:rsidRPr="00ED3AFA">
        <w:rPr>
          <w:sz w:val="28"/>
          <w:szCs w:val="28"/>
        </w:rPr>
        <w:t>its significance in characterizing continuous-time signals and systems.</w:t>
      </w:r>
    </w:p>
    <w:p w14:paraId="09165D9E" w14:textId="41ADF5A6" w:rsidR="00ED3AFA" w:rsidRPr="00ED3AFA" w:rsidRDefault="00ED3AFA" w:rsidP="00ED3AFA">
      <w:pPr>
        <w:rPr>
          <w:sz w:val="28"/>
          <w:szCs w:val="28"/>
        </w:rPr>
      </w:pPr>
      <w:r w:rsidRPr="00ED3AFA">
        <w:rPr>
          <w:sz w:val="28"/>
          <w:szCs w:val="28"/>
        </w:rPr>
        <w:drawing>
          <wp:inline distT="0" distB="0" distL="0" distR="0" wp14:anchorId="49B5C9D5" wp14:editId="4CD3B914">
            <wp:extent cx="5731510" cy="3006090"/>
            <wp:effectExtent l="0" t="0" r="2540" b="3810"/>
            <wp:docPr id="123295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535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64E40" w14:textId="77777777" w:rsidR="00ED3AFA" w:rsidRPr="00ED3AFA" w:rsidRDefault="00ED3AFA" w:rsidP="00ED3AFA">
      <w:pPr>
        <w:rPr>
          <w:sz w:val="28"/>
          <w:szCs w:val="28"/>
        </w:rPr>
      </w:pPr>
    </w:p>
    <w:p w14:paraId="7BFF9463" w14:textId="77777777" w:rsidR="00ED3AFA" w:rsidRPr="00ED3AFA" w:rsidRDefault="00ED3AFA" w:rsidP="00ED3AFA">
      <w:pPr>
        <w:rPr>
          <w:sz w:val="28"/>
          <w:szCs w:val="28"/>
        </w:rPr>
      </w:pPr>
    </w:p>
    <w:sectPr w:rsidR="00ED3AFA" w:rsidRPr="00ED3A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AFA"/>
    <w:rsid w:val="003F6488"/>
    <w:rsid w:val="004969CE"/>
    <w:rsid w:val="009D6A74"/>
    <w:rsid w:val="00ED3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32D92"/>
  <w15:chartTrackingRefBased/>
  <w15:docId w15:val="{CE97A673-254A-478D-A6F7-B027744BD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SREELEYA U</dc:creator>
  <cp:keywords/>
  <dc:description/>
  <cp:lastModifiedBy>SREELEYA U</cp:lastModifiedBy>
  <cp:revision>1</cp:revision>
  <dcterms:created xsi:type="dcterms:W3CDTF">2026-10-21T13:35:00Z</dcterms:created>
  <dcterms:modified xsi:type="dcterms:W3CDTF">2026-10-21T13:42:00Z</dcterms:modified>
</cp:coreProperties>
</file>