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p>
    <w:p>
      <w:pPr>
        <w:spacing w:before="0" w:after="0" w:line="240" w:lineRule="auto"/>
        <w:jc w:val="left"/>
      </w:pPr>
    </w:p>
    <w:p>
      <w:pPr>
        <w:spacing w:before="0" w:after="0" w:line="240" w:lineRule="auto"/>
        <w:jc w:val="left"/>
      </w:pPr>
    </w:p>
    <w:p>
      <w:pPr>
        <w:spacing w:before="0" w:after="280" w:line="240" w:lineRule="auto"/>
        <w:jc w:val="center"/>
      </w:pPr>
      <w:r>
        <w:rPr>
          <w:rFonts w:ascii="굴림" w:hAnsi="굴림" w:eastAsia="굴림"/>
          <w:b/>
          <w:sz w:val="40"/>
        </w:rPr>
        <w:t>2026  학년도  2  학기 중간과제물</w:t>
      </w:r>
      <w:r>
        <w:rPr>
          <w:rFonts w:ascii="굴림" w:hAnsi="굴림" w:eastAsia="굴림"/>
          <w:b/>
          <w:color w:val="0000FF"/>
          <w:sz w:val="40"/>
        </w:rPr>
        <w:t>(온라인 제출용)</w:t>
      </w:r>
    </w:p>
    <w:tbl>
      <w:tblPr>
        <w:tblW w:type="dxa" w:w="8390"/>
        <w:jc w:val="left"/>
        <w:tblLook w:firstColumn="1" w:firstRow="1" w:lastColumn="0" w:lastRow="0" w:noHBand="0" w:noVBand="1" w:val="04A0"/>
        <w:tblBorders>
          <w:top w:val="nil"/>
          <w:left w:val="nil"/>
          <w:bottom w:val="nil"/>
          <w:right w:val="nil"/>
          <w:insideH w:val="nil"/>
          <w:insideV w:val="nil"/>
        </w:tblBorders>
        <w:tblLayout w:type="fixed"/>
      </w:tblPr>
      <w:tblGrid>
        <w:gridCol w:w="453"/>
        <w:gridCol w:w="2267"/>
        <w:gridCol w:w="5669"/>
      </w:tblGrid>
      <w:tr>
        <w:tc>
          <w:tcPr>
            <w:tcW w:type="dxa" w:w="454"/>
            <w:vAlign w:val="center"/>
          </w:tcPr>
          <w:p>
            <w:pPr>
              <w:spacing w:line="240" w:lineRule="auto"/>
            </w:pPr>
            <w:r>
              <w:rPr>
                <w:rFonts w:ascii="굴림" w:hAnsi="굴림" w:eastAsia="굴림"/>
                <w:b/>
                <w:sz w:val="26"/>
              </w:rPr>
              <w:t>❍</w:t>
            </w:r>
          </w:p>
        </w:tc>
        <w:tc>
          <w:tcPr>
            <w:tcW w:type="dxa" w:w="2268"/>
            <w:vAlign w:val="center"/>
          </w:tcPr>
          <w:p>
            <w:pPr>
              <w:spacing w:line="240" w:lineRule="auto"/>
              <w:jc w:val="distribute"/>
            </w:pPr>
            <w:r>
              <w:rPr>
                <w:rFonts w:ascii="굴림" w:hAnsi="굴림" w:eastAsia="굴림"/>
                <w:b/>
                <w:sz w:val="26"/>
              </w:rPr>
              <w:t>교 과 목 명</w:t>
            </w:r>
          </w:p>
        </w:tc>
        <w:tc>
          <w:tcPr>
            <w:tcW w:type="dxa" w:w="5669"/>
            <w:vAlign w:val="center"/>
          </w:tcPr>
          <w:p>
            <w:pPr>
              <w:spacing w:line="240" w:lineRule="auto"/>
            </w:pPr>
            <w:r>
              <w:rPr>
                <w:rFonts w:ascii="굴림" w:hAnsi="굴림" w:eastAsia="굴림"/>
                <w:b w:val="0"/>
                <w:sz w:val="26"/>
              </w:rPr>
              <w:t xml:space="preserve"> :  식용작물학1</w:t>
            </w:r>
          </w:p>
        </w:tc>
      </w:tr>
      <w:tr>
        <w:tc>
          <w:tcPr>
            <w:tcW w:type="dxa" w:w="454"/>
            <w:vAlign w:val="center"/>
          </w:tcPr>
          <w:p>
            <w:pPr>
              <w:spacing w:line="240" w:lineRule="auto"/>
            </w:pPr>
            <w:r>
              <w:rPr>
                <w:rFonts w:ascii="굴림" w:hAnsi="굴림" w:eastAsia="굴림"/>
                <w:b/>
                <w:sz w:val="26"/>
              </w:rPr>
              <w:t>❍</w:t>
            </w:r>
          </w:p>
        </w:tc>
        <w:tc>
          <w:tcPr>
            <w:tcW w:type="dxa" w:w="2268"/>
            <w:vAlign w:val="center"/>
          </w:tcPr>
          <w:p>
            <w:pPr>
              <w:spacing w:line="240" w:lineRule="auto"/>
              <w:jc w:val="distribute"/>
            </w:pPr>
            <w:r>
              <w:rPr>
                <w:rFonts w:ascii="굴림" w:hAnsi="굴림" w:eastAsia="굴림"/>
                <w:b/>
                <w:sz w:val="26"/>
              </w:rPr>
              <w:t>학          번</w:t>
            </w:r>
          </w:p>
        </w:tc>
        <w:tc>
          <w:tcPr>
            <w:tcW w:type="dxa" w:w="5669"/>
            <w:vAlign w:val="center"/>
          </w:tcPr>
          <w:p>
            <w:pPr>
              <w:spacing w:line="240" w:lineRule="auto"/>
            </w:pPr>
            <w:r>
              <w:rPr>
                <w:rFonts w:ascii="굴림" w:hAnsi="굴림" w:eastAsia="굴림"/>
                <w:b w:val="0"/>
                <w:sz w:val="26"/>
              </w:rPr>
              <w:t xml:space="preserve"> :  202631-348563</w:t>
            </w:r>
          </w:p>
        </w:tc>
      </w:tr>
      <w:tr>
        <w:tc>
          <w:tcPr>
            <w:tcW w:type="dxa" w:w="454"/>
            <w:vAlign w:val="center"/>
          </w:tcPr>
          <w:p>
            <w:pPr>
              <w:spacing w:line="240" w:lineRule="auto"/>
            </w:pPr>
            <w:r>
              <w:rPr>
                <w:rFonts w:ascii="굴림" w:hAnsi="굴림" w:eastAsia="굴림"/>
                <w:b/>
                <w:sz w:val="26"/>
              </w:rPr>
              <w:t>❍</w:t>
            </w:r>
          </w:p>
        </w:tc>
        <w:tc>
          <w:tcPr>
            <w:tcW w:type="dxa" w:w="2268"/>
            <w:vAlign w:val="center"/>
          </w:tcPr>
          <w:p>
            <w:pPr>
              <w:spacing w:line="240" w:lineRule="auto"/>
              <w:jc w:val="distribute"/>
            </w:pPr>
            <w:r>
              <w:rPr>
                <w:rFonts w:ascii="굴림" w:hAnsi="굴림" w:eastAsia="굴림"/>
                <w:b/>
                <w:sz w:val="26"/>
              </w:rPr>
              <w:t>성          명</w:t>
            </w:r>
          </w:p>
        </w:tc>
        <w:tc>
          <w:tcPr>
            <w:tcW w:type="dxa" w:w="5669"/>
            <w:vAlign w:val="center"/>
          </w:tcPr>
          <w:p>
            <w:pPr>
              <w:spacing w:line="240" w:lineRule="auto"/>
            </w:pPr>
            <w:r>
              <w:rPr>
                <w:rFonts w:ascii="굴림" w:hAnsi="굴림" w:eastAsia="굴림"/>
                <w:b w:val="0"/>
                <w:sz w:val="26"/>
              </w:rPr>
              <w:t xml:space="preserve"> :  임성렬</w:t>
            </w:r>
          </w:p>
        </w:tc>
      </w:tr>
      <w:tr>
        <w:tc>
          <w:tcPr>
            <w:tcW w:type="dxa" w:w="454"/>
            <w:vAlign w:val="center"/>
          </w:tcPr>
          <w:p>
            <w:pPr>
              <w:spacing w:line="240" w:lineRule="auto"/>
            </w:pPr>
            <w:r>
              <w:rPr>
                <w:rFonts w:ascii="굴림" w:hAnsi="굴림" w:eastAsia="굴림"/>
                <w:b/>
                <w:sz w:val="26"/>
              </w:rPr>
              <w:t>❍</w:t>
            </w:r>
          </w:p>
        </w:tc>
        <w:tc>
          <w:tcPr>
            <w:tcW w:type="dxa" w:w="2268"/>
            <w:vAlign w:val="center"/>
          </w:tcPr>
          <w:p>
            <w:pPr>
              <w:spacing w:line="240" w:lineRule="auto"/>
              <w:jc w:val="distribute"/>
            </w:pPr>
            <w:r>
              <w:rPr>
                <w:rFonts w:ascii="굴림" w:hAnsi="굴림" w:eastAsia="굴림"/>
                <w:b/>
                <w:sz w:val="26"/>
              </w:rPr>
              <w:t>연    락    처</w:t>
            </w:r>
          </w:p>
        </w:tc>
        <w:tc>
          <w:tcPr>
            <w:tcW w:type="dxa" w:w="5669"/>
            <w:vAlign w:val="center"/>
          </w:tcPr>
          <w:p>
            <w:pPr>
              <w:spacing w:line="240" w:lineRule="auto"/>
            </w:pPr>
            <w:r>
              <w:rPr>
                <w:rFonts w:ascii="굴림" w:hAnsi="굴림" w:eastAsia="굴림"/>
                <w:b w:val="0"/>
                <w:sz w:val="26"/>
              </w:rPr>
              <w:t xml:space="preserve"> :  </w:t>
            </w:r>
          </w:p>
        </w:tc>
      </w:tr>
      <w:tr>
        <w:tc>
          <w:tcPr>
            <w:tcW w:type="dxa" w:w="454"/>
            <w:vAlign w:val="center"/>
          </w:tcPr>
          <w:p>
            <w:pPr>
              <w:spacing w:line="240" w:lineRule="auto"/>
            </w:pPr>
            <w:r>
              <w:rPr>
                <w:rFonts w:ascii="굴림" w:hAnsi="굴림" w:eastAsia="굴림"/>
                <w:b/>
                <w:sz w:val="26"/>
              </w:rPr>
              <w:t>❍</w:t>
            </w:r>
          </w:p>
        </w:tc>
        <w:tc>
          <w:tcPr>
            <w:tcW w:type="dxa" w:w="2268"/>
            <w:vAlign w:val="center"/>
          </w:tcPr>
          <w:p>
            <w:pPr>
              <w:spacing w:line="240" w:lineRule="auto"/>
              <w:jc w:val="center"/>
            </w:pPr>
            <w:r>
              <w:rPr>
                <w:rFonts w:ascii="굴림" w:hAnsi="굴림" w:eastAsia="굴림"/>
                <w:b/>
                <w:sz w:val="26"/>
              </w:rPr>
              <w:t>과 제 유 형</w:t>
            </w:r>
            <w:r>
              <w:br/>
            </w:r>
            <w:r>
              <w:rPr>
                <w:rFonts w:ascii="굴림" w:hAnsi="굴림" w:eastAsia="굴림"/>
                <w:b/>
                <w:sz w:val="22"/>
              </w:rPr>
              <w:t>(공통형/지정형)</w:t>
            </w:r>
          </w:p>
        </w:tc>
        <w:tc>
          <w:tcPr>
            <w:tcW w:type="dxa" w:w="5669"/>
            <w:vAlign w:val="center"/>
          </w:tcPr>
          <w:p>
            <w:pPr>
              <w:spacing w:line="240" w:lineRule="auto"/>
            </w:pPr>
            <w:r>
              <w:rPr>
                <w:rFonts w:ascii="굴림" w:hAnsi="굴림" w:eastAsia="굴림"/>
                <w:b w:val="0"/>
                <w:sz w:val="26"/>
              </w:rPr>
              <w:t xml:space="preserve"> :  공통형</w:t>
            </w:r>
          </w:p>
        </w:tc>
      </w:tr>
    </w:tbl>
    <w:p>
      <w:pPr>
        <w:spacing w:before="200" w:after="40" w:line="240" w:lineRule="auto"/>
        <w:jc w:val="left"/>
      </w:pPr>
      <w:r>
        <w:rPr>
          <w:rFonts w:ascii="굴림" w:hAnsi="굴림" w:eastAsia="굴림"/>
          <w:b w:val="0"/>
          <w:color w:val="FF0066"/>
          <w:sz w:val="15"/>
        </w:rPr>
        <w:t>※ 과제물 표지등에 개인정보(주민번호,운전면허번호)가 포함될 경우 삭제처리로 과제물을 다시 제출해야 하는 경우가 발생할 수 있습니다.</w:t>
      </w:r>
    </w:p>
    <w:p>
      <w:pPr>
        <w:spacing w:before="0" w:after="0" w:line="240" w:lineRule="auto"/>
        <w:jc w:val="left"/>
        <w:pBdr>
          <w:bottom w:val="single" w:sz="6" w:space="1" w:color="000000"/>
        </w:pBdr>
      </w:pPr>
    </w:p>
    <w:p>
      <w:pPr>
        <w:spacing w:before="0" w:after="0" w:line="240" w:lineRule="auto"/>
        <w:jc w:val="left"/>
      </w:pPr>
      <w:r>
        <w:br w:type="page"/>
      </w:r>
    </w:p>
    <w:p>
      <w:pPr>
        <w:spacing w:after="120" w:before="0"/>
        <w:jc w:val="center"/>
      </w:pPr>
      <w:r>
        <w:rPr>
          <w:b/>
          <w:sz w:val="25"/>
        </w:rPr>
        <w:t>최근 20년간(2005~2024년) 우리나라 감자의 재배면적·단수·생산량 변화 분석</w:t>
      </w:r>
    </w:p>
    <w:p>
      <w:pPr>
        <w:keepNext/>
        <w:spacing w:after="40" w:before="120"/>
        <w:jc w:val="left"/>
      </w:pPr>
      <w:r>
        <w:rPr>
          <w:b/>
          <w:sz w:val="24"/>
        </w:rPr>
        <w:t>1. 분석 개요</w:t>
      </w:r>
    </w:p>
    <w:p>
      <w:pPr>
        <w:widowControl/>
        <w:spacing w:after="50" w:before="0"/>
        <w:ind w:firstLine="220"/>
        <w:jc w:val="both"/>
      </w:pPr>
      <w:r>
        <w:rPr>
          <w:rFonts w:ascii="맑은 고딕" w:hAnsi="맑은 고딕"/>
          <w:sz w:val="20"/>
        </w:rPr>
        <w:t>국가데이터처 KOSIS 「농작물생산조사」의 ‘서류생산량(생서)’ 통계에서 2005년부터 2024년까지 전국 감자의 재배면적, 단수, 총생산량을 비교했습니다. 2025년은 감자 합계 수치가 공표되지 않아 제외했습니다.</w:t>
      </w:r>
    </w:p>
    <w:p>
      <w:pPr>
        <w:widowControl/>
        <w:spacing w:after="50" w:before="0"/>
        <w:ind w:firstLine="220"/>
        <w:jc w:val="both"/>
      </w:pPr>
      <w:r>
        <w:rPr>
          <w:rFonts w:ascii="맑은 고딕" w:hAnsi="맑은 고딕"/>
          <w:sz w:val="20"/>
        </w:rPr>
        <w:t>Excel로 2005년 기준 지수와 전년 대비 변화율을 계산해 재배면적과 단수의 영향을 비교했습니다.</w:t>
      </w:r>
    </w:p>
    <w:p>
      <w:pPr>
        <w:keepNext/>
        <w:spacing w:after="40" w:before="120"/>
        <w:jc w:val="left"/>
      </w:pPr>
      <w:r>
        <w:rPr>
          <w:b/>
          <w:sz w:val="24"/>
        </w:rPr>
        <w:t>2. 분석 결과</w:t>
      </w:r>
    </w:p>
    <w:p>
      <w:pPr>
        <w:spacing w:after="40" w:before="0" w:line="312" w:lineRule="auto"/>
        <w:jc w:val="center"/>
      </w:pPr>
      <w:r>
        <w:rPr>
          <w:b/>
          <w:sz w:val="20"/>
        </w:rPr>
        <w:t>표 1. 시작연도(2005년) 대비 최종연도(2024년)의 변화</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tcPr>
          <w:p>
            <w:pPr>
              <w:spacing w:line="276" w:lineRule="auto"/>
              <w:jc w:val="center"/>
            </w:pPr>
            <w:r/>
            <w:r>
              <w:rPr>
                <w:b/>
                <w:sz w:val="20"/>
              </w:rPr>
              <w:t>구분</w:t>
            </w:r>
          </w:p>
        </w:tc>
        <w:tc>
          <w:tcPr>
            <w:tcW w:type="dxa" w:w="1474"/>
          </w:tcPr>
          <w:p>
            <w:pPr>
              <w:spacing w:line="276" w:lineRule="auto"/>
              <w:jc w:val="center"/>
            </w:pPr>
            <w:r/>
            <w:r>
              <w:rPr>
                <w:b/>
                <w:sz w:val="20"/>
              </w:rPr>
              <w:t>2005년</w:t>
            </w:r>
          </w:p>
        </w:tc>
        <w:tc>
          <w:tcPr>
            <w:tcW w:type="dxa" w:w="1474"/>
          </w:tcPr>
          <w:p>
            <w:pPr>
              <w:spacing w:line="276" w:lineRule="auto"/>
              <w:jc w:val="center"/>
            </w:pPr>
            <w:r/>
            <w:r>
              <w:rPr>
                <w:b/>
                <w:sz w:val="20"/>
              </w:rPr>
              <w:t>2024년</w:t>
            </w:r>
          </w:p>
        </w:tc>
        <w:tc>
          <w:tcPr>
            <w:tcW w:type="dxa" w:w="1814"/>
          </w:tcPr>
          <w:p>
            <w:pPr>
              <w:spacing w:line="276" w:lineRule="auto"/>
              <w:jc w:val="center"/>
            </w:pPr>
            <w:r/>
            <w:r>
              <w:rPr>
                <w:b/>
                <w:sz w:val="20"/>
              </w:rPr>
              <w:t>전체 변화율(%)</w:t>
            </w:r>
          </w:p>
        </w:tc>
        <w:tc>
          <w:tcPr>
            <w:tcW w:type="dxa" w:w="1814"/>
          </w:tcPr>
          <w:p>
            <w:pPr>
              <w:spacing w:line="276" w:lineRule="auto"/>
              <w:jc w:val="center"/>
            </w:pPr>
            <w:r/>
            <w:r>
              <w:rPr>
                <w:b/>
                <w:sz w:val="20"/>
              </w:rPr>
              <w:t>지수(2005=100)</w:t>
            </w:r>
          </w:p>
        </w:tc>
      </w:tr>
      <w:tr>
        <w:tc>
          <w:tcPr>
            <w:tcW w:type="dxa" w:w="1814"/>
          </w:tcPr>
          <w:p>
            <w:pPr>
              <w:spacing w:line="276" w:lineRule="auto"/>
              <w:jc w:val="center"/>
            </w:pPr>
            <w:r/>
            <w:r>
              <w:rPr>
                <w:b w:val="0"/>
                <w:sz w:val="20"/>
              </w:rPr>
              <w:t>재배면적(ha)</w:t>
            </w:r>
          </w:p>
        </w:tc>
        <w:tc>
          <w:tcPr>
            <w:tcW w:type="dxa" w:w="1474"/>
          </w:tcPr>
          <w:p>
            <w:pPr>
              <w:spacing w:line="276" w:lineRule="auto"/>
              <w:jc w:val="center"/>
            </w:pPr>
            <w:r/>
            <w:r>
              <w:rPr>
                <w:b w:val="0"/>
                <w:sz w:val="20"/>
              </w:rPr>
              <w:t>32,728</w:t>
            </w:r>
          </w:p>
        </w:tc>
        <w:tc>
          <w:tcPr>
            <w:tcW w:type="dxa" w:w="1474"/>
          </w:tcPr>
          <w:p>
            <w:pPr>
              <w:spacing w:line="276" w:lineRule="auto"/>
              <w:jc w:val="center"/>
            </w:pPr>
            <w:r/>
            <w:r>
              <w:rPr>
                <w:b w:val="0"/>
                <w:sz w:val="20"/>
              </w:rPr>
              <w:t>23,969</w:t>
            </w:r>
          </w:p>
        </w:tc>
        <w:tc>
          <w:tcPr>
            <w:tcW w:type="dxa" w:w="1814"/>
          </w:tcPr>
          <w:p>
            <w:pPr>
              <w:spacing w:line="276" w:lineRule="auto"/>
              <w:jc w:val="center"/>
            </w:pPr>
            <w:r/>
            <w:r>
              <w:rPr>
                <w:b w:val="0"/>
                <w:sz w:val="20"/>
              </w:rPr>
              <w:t>-26.8</w:t>
            </w:r>
          </w:p>
        </w:tc>
        <w:tc>
          <w:tcPr>
            <w:tcW w:type="dxa" w:w="1814"/>
          </w:tcPr>
          <w:p>
            <w:pPr>
              <w:spacing w:line="276" w:lineRule="auto"/>
              <w:jc w:val="center"/>
            </w:pPr>
            <w:r/>
            <w:r>
              <w:rPr>
                <w:b w:val="0"/>
                <w:sz w:val="20"/>
              </w:rPr>
              <w:t>73.2</w:t>
            </w:r>
          </w:p>
        </w:tc>
      </w:tr>
      <w:tr>
        <w:tc>
          <w:tcPr>
            <w:tcW w:type="dxa" w:w="1814"/>
          </w:tcPr>
          <w:p>
            <w:pPr>
              <w:spacing w:line="276" w:lineRule="auto"/>
              <w:jc w:val="center"/>
            </w:pPr>
            <w:r/>
            <w:r>
              <w:rPr>
                <w:b w:val="0"/>
                <w:sz w:val="20"/>
              </w:rPr>
              <w:t>단수(kg/10a)</w:t>
            </w:r>
          </w:p>
        </w:tc>
        <w:tc>
          <w:tcPr>
            <w:tcW w:type="dxa" w:w="1474"/>
          </w:tcPr>
          <w:p>
            <w:pPr>
              <w:spacing w:line="276" w:lineRule="auto"/>
              <w:jc w:val="center"/>
            </w:pPr>
            <w:r/>
            <w:r>
              <w:rPr>
                <w:b w:val="0"/>
                <w:sz w:val="20"/>
              </w:rPr>
              <w:t>2,732</w:t>
            </w:r>
          </w:p>
        </w:tc>
        <w:tc>
          <w:tcPr>
            <w:tcW w:type="dxa" w:w="1474"/>
          </w:tcPr>
          <w:p>
            <w:pPr>
              <w:spacing w:line="276" w:lineRule="auto"/>
              <w:jc w:val="center"/>
            </w:pPr>
            <w:r/>
            <w:r>
              <w:rPr>
                <w:b w:val="0"/>
                <w:sz w:val="20"/>
              </w:rPr>
              <w:t>2,474</w:t>
            </w:r>
          </w:p>
        </w:tc>
        <w:tc>
          <w:tcPr>
            <w:tcW w:type="dxa" w:w="1814"/>
          </w:tcPr>
          <w:p>
            <w:pPr>
              <w:spacing w:line="276" w:lineRule="auto"/>
              <w:jc w:val="center"/>
            </w:pPr>
            <w:r/>
            <w:r>
              <w:rPr>
                <w:b w:val="0"/>
                <w:sz w:val="20"/>
              </w:rPr>
              <w:t>-9.4</w:t>
            </w:r>
          </w:p>
        </w:tc>
        <w:tc>
          <w:tcPr>
            <w:tcW w:type="dxa" w:w="1814"/>
          </w:tcPr>
          <w:p>
            <w:pPr>
              <w:spacing w:line="276" w:lineRule="auto"/>
              <w:jc w:val="center"/>
            </w:pPr>
            <w:r/>
            <w:r>
              <w:rPr>
                <w:b w:val="0"/>
                <w:sz w:val="20"/>
              </w:rPr>
              <w:t>90.6</w:t>
            </w:r>
          </w:p>
        </w:tc>
      </w:tr>
      <w:tr>
        <w:tc>
          <w:tcPr>
            <w:tcW w:type="dxa" w:w="1814"/>
          </w:tcPr>
          <w:p>
            <w:pPr>
              <w:spacing w:line="276" w:lineRule="auto"/>
              <w:jc w:val="center"/>
            </w:pPr>
            <w:r/>
            <w:r>
              <w:rPr>
                <w:b w:val="0"/>
                <w:sz w:val="20"/>
              </w:rPr>
              <w:t>총생산량(톤)</w:t>
            </w:r>
          </w:p>
        </w:tc>
        <w:tc>
          <w:tcPr>
            <w:tcW w:type="dxa" w:w="1474"/>
          </w:tcPr>
          <w:p>
            <w:pPr>
              <w:spacing w:line="276" w:lineRule="auto"/>
              <w:jc w:val="center"/>
            </w:pPr>
            <w:r/>
            <w:r>
              <w:rPr>
                <w:b w:val="0"/>
                <w:sz w:val="20"/>
              </w:rPr>
              <w:t>894,215</w:t>
            </w:r>
          </w:p>
        </w:tc>
        <w:tc>
          <w:tcPr>
            <w:tcW w:type="dxa" w:w="1474"/>
          </w:tcPr>
          <w:p>
            <w:pPr>
              <w:spacing w:line="276" w:lineRule="auto"/>
              <w:jc w:val="center"/>
            </w:pPr>
            <w:r/>
            <w:r>
              <w:rPr>
                <w:b w:val="0"/>
                <w:sz w:val="20"/>
              </w:rPr>
              <w:t>593,017</w:t>
            </w:r>
          </w:p>
        </w:tc>
        <w:tc>
          <w:tcPr>
            <w:tcW w:type="dxa" w:w="1814"/>
          </w:tcPr>
          <w:p>
            <w:pPr>
              <w:spacing w:line="276" w:lineRule="auto"/>
              <w:jc w:val="center"/>
            </w:pPr>
            <w:r/>
            <w:r>
              <w:rPr>
                <w:b w:val="0"/>
                <w:sz w:val="20"/>
              </w:rPr>
              <w:t>-33.7</w:t>
            </w:r>
          </w:p>
        </w:tc>
        <w:tc>
          <w:tcPr>
            <w:tcW w:type="dxa" w:w="1814"/>
          </w:tcPr>
          <w:p>
            <w:pPr>
              <w:spacing w:line="276" w:lineRule="auto"/>
              <w:jc w:val="center"/>
            </w:pPr>
            <w:r/>
            <w:r>
              <w:rPr>
                <w:b w:val="0"/>
                <w:sz w:val="20"/>
              </w:rPr>
              <w:t>66.3</w:t>
            </w:r>
          </w:p>
        </w:tc>
      </w:tr>
    </w:tbl>
    <w:p>
      <w:pPr>
        <w:spacing w:after="0" w:before="40" w:line="312" w:lineRule="auto"/>
        <w:jc w:val="left"/>
      </w:pPr>
      <w:r>
        <w:rPr>
          <w:b w:val="0"/>
          <w:sz w:val="18"/>
        </w:rPr>
        <w:t>※ 전체 변화율(%) = (최종연도 값 − 시작연도 값) ÷ 시작연도 값 × 100</w:t>
      </w:r>
    </w:p>
    <w:p>
      <w:pPr>
        <w:spacing w:after="120" w:before="0" w:line="312" w:lineRule="auto"/>
        <w:jc w:val="left"/>
      </w:pPr>
      <w:r>
        <w:rPr>
          <w:b w:val="0"/>
          <w:sz w:val="18"/>
        </w:rPr>
        <w:t>자료: 국가데이터처 KOSIS 「농작물생산조사」</w:t>
      </w:r>
    </w:p>
    <w:tbl>
      <w:tblPr>
        <w:tblW w:type="auto" w:w="0"/>
        <w:jc w:val="center"/>
        <w:tblLook w:firstColumn="1" w:firstRow="1" w:lastColumn="0" w:lastRow="0" w:noHBand="0" w:noVBand="1" w:val="04A0"/>
      </w:tblPr>
      <w:tblGrid>
        <w:gridCol w:w="4819"/>
        <w:gridCol w:w="4819"/>
      </w:tblGrid>
      <w:tr>
        <w:tc>
          <w:tcPr>
            <w:tcW w:type="dxa" w:w="4819"/>
          </w:tcPr>
          <w:p>
            <w:pPr>
              <w:spacing w:line="240" w:lineRule="auto"/>
              <w:jc w:val="center"/>
            </w:pPr>
            <w:r>
              <w:drawing xmlns:a="http://schemas.openxmlformats.org/drawingml/2006/main" xmlns:c="http://schemas.openxmlformats.org/drawingml/2006/chart">
                <wp:inline distT="0" distB="0" distL="0" distR="0">
                  <wp:extent cx="2988000" cy="1980000"/>
                  <wp:effectExtent l="0" t="0" r="0" b="0"/>
                  <wp:docPr id="1001" name="Chart 1"/>
                  <wp:cNvGraphicFramePr/>
                  <a:graphic>
                    <a:graphicData uri="http://schemas.openxmlformats.org/drawingml/2006/chart">
                      <c:chart r:id="rId9"/>
                    </a:graphicData>
                  </a:graphic>
                </wp:inline>
              </w:drawing>
            </w:r>
          </w:p>
        </w:tc>
        <w:tc>
          <w:tcPr>
            <w:tcW w:type="dxa" w:w="4819"/>
          </w:tcPr>
          <w:p>
            <w:pPr>
              <w:spacing w:line="240" w:lineRule="auto"/>
              <w:jc w:val="center"/>
            </w:pPr>
            <w:r>
              <w:drawing xmlns:a="http://schemas.openxmlformats.org/drawingml/2006/main" xmlns:c="http://schemas.openxmlformats.org/drawingml/2006/chart">
                <wp:inline distT="0" distB="0" distL="0" distR="0">
                  <wp:extent cx="2988000" cy="1980000"/>
                  <wp:effectExtent l="0" t="0" r="0" b="0"/>
                  <wp:docPr id="1002" name="Chart 2"/>
                  <wp:cNvGraphicFramePr/>
                  <a:graphic>
                    <a:graphicData uri="http://schemas.openxmlformats.org/drawingml/2006/chart">
                      <c:chart r:id="rId10"/>
                    </a:graphicData>
                  </a:graphic>
                </wp:inline>
              </w:drawing>
            </w:r>
          </w:p>
        </w:tc>
      </w:tr>
    </w:tbl>
    <w:p>
      <w:pPr>
        <w:spacing w:line="240" w:lineRule="auto" w:before="80"/>
        <w:jc w:val="center"/>
      </w:pPr>
      <w:r>
        <w:drawing xmlns:a="http://schemas.openxmlformats.org/drawingml/2006/main" xmlns:c="http://schemas.openxmlformats.org/drawingml/2006/chart">
          <wp:inline distT="0" distB="0" distL="0" distR="0">
            <wp:extent cx="5940000" cy="2232000"/>
            <wp:effectExtent l="0" t="0" r="0" b="0"/>
            <wp:docPr id="1003" name="Chart 3"/>
            <wp:cNvGraphicFramePr/>
            <a:graphic>
              <a:graphicData uri="http://schemas.openxmlformats.org/drawingml/2006/chart">
                <c:chart r:id="rId11"/>
              </a:graphicData>
            </a:graphic>
          </wp:inline>
        </w:drawing>
      </w:r>
    </w:p>
    <w:p>
      <w:pPr>
        <w:keepNext/>
        <w:pageBreakBefore/>
        <w:spacing w:after="40" w:before="120"/>
        <w:jc w:val="left"/>
      </w:pPr>
      <w:r>
        <w:rPr>
          <w:b/>
          <w:sz w:val="24"/>
        </w:rPr>
        <w:t>3. 결과 해석</w:t>
      </w:r>
    </w:p>
    <w:p>
      <w:pPr>
        <w:keepNext/>
        <w:spacing w:after="0" w:before="40"/>
        <w:jc w:val="left"/>
      </w:pPr>
      <w:r>
        <w:rPr>
          <w:b/>
        </w:rPr>
        <w:t>① 재배면적 감소와 지역별 차이</w:t>
      </w:r>
    </w:p>
    <w:p>
      <w:pPr>
        <w:widowControl/>
        <w:spacing w:after="50" w:before="0"/>
        <w:ind w:firstLine="220"/>
        <w:jc w:val="both"/>
      </w:pPr>
      <w:r>
        <w:rPr>
          <w:rFonts w:ascii="맑은 고딕" w:hAnsi="맑은 고딕"/>
          <w:sz w:val="20"/>
        </w:rPr>
        <w:t>감자 재배면적은 2005년 32,728ha에서 2024년 23,969ha로 26.8% 감소했습니다. 그래프 1을 보면 2006~2007년에 크게 줄어든 뒤에도 2005년 수준을 회복하지 못했고, 2022년에는 20,088ha로 가장 적었습니다. 저는 감소 폭보다 이런 흐름이 오래 이어졌다는 점에 주목했습니다. 한 해의 작황이 나빠 생산량이 줄어든 문제와는 달리, 감자를 재배하는 규모 자체가 작아진 이유를 살펴봐야 하기 때문입니다.</w:t>
      </w:r>
    </w:p>
    <w:p>
      <w:pPr>
        <w:widowControl/>
        <w:spacing w:after="50" w:before="0"/>
        <w:ind w:firstLine="220"/>
        <w:jc w:val="both"/>
      </w:pPr>
      <w:r>
        <w:rPr>
          <w:rFonts w:ascii="맑은 고딕" w:hAnsi="맑은 고딕"/>
          <w:sz w:val="20"/>
        </w:rPr>
        <w:t>지역별로는 제주특별자치도의 재배면적이 6,174ha에서 1,803ha로 줄었습니다. 감소 면적은 4,371ha로 전국 감소분 8,759ha의 약 절반입니다. 전국 감소분의 절반이 한 지역에 집중된 만큼, 지역별 사정을 확인하지 않고 일률적인 대책부터 세우는 것은 성급하다고 생각합니다. 다만 면적 통계만으로는 제주에서 감자 재배가 줄어든 이유까지 알 수 없습니다.</w:t>
      </w:r>
    </w:p>
    <w:p>
      <w:pPr>
        <w:keepNext/>
        <w:spacing w:after="0" w:before="40"/>
        <w:jc w:val="left"/>
      </w:pPr>
      <w:r>
        <w:rPr>
          <w:b/>
        </w:rPr>
        <w:t>② 단수와 총생산량의 흐름</w:t>
      </w:r>
    </w:p>
    <w:p>
      <w:pPr>
        <w:widowControl/>
        <w:spacing w:after="50" w:before="0"/>
        <w:ind w:firstLine="220"/>
        <w:jc w:val="both"/>
      </w:pPr>
      <w:r>
        <w:rPr>
          <w:rFonts w:ascii="맑은 고딕" w:hAnsi="맑은 고딕"/>
          <w:sz w:val="20"/>
        </w:rPr>
        <w:t>단수는 2005년 2,732kg/10a에서 2024년 2,474kg/10a로 9.4% 줄었습니다. 재배면적에 비해 감소 폭은 작지만 연도별 차이는 컸습니다. 2008년에는 2,943kg/10a로 가장 높았고, 2017년에는 2,225kg/10a로 가장 낮았습니다. 일정한 속도로 감소했다기보다 해마다 작황이 달랐다고 보는 편이 적절합니다.</w:t>
      </w:r>
    </w:p>
    <w:p>
      <w:pPr>
        <w:widowControl/>
        <w:spacing w:after="50" w:before="0"/>
        <w:ind w:firstLine="220"/>
        <w:jc w:val="both"/>
      </w:pPr>
      <w:r>
        <w:rPr>
          <w:rFonts w:ascii="맑은 고딕" w:hAnsi="맑은 고딕"/>
          <w:sz w:val="20"/>
        </w:rPr>
        <w:t>총생산량은 894,215톤에서 593,017톤으로 33.7% 감소했습니다. 재배면적이 가장 적었던 해는 2022년이지만, 생산량이 가장 적었던 해는 2017년(466,755톤)이었습니다. 이 해에는 단수도 최저치를 기록했습니다. 장기적으로는 재배면적 축소가 큰 영향을 주었지만, 개별 연도의 생산량은 단수에 따라 크게 달라졌습니다. 따라서 재배면적만으로 그해의 수확량을 예상하는 데에는 무리가 있습니다.</w:t>
      </w:r>
    </w:p>
    <w:p>
      <w:pPr>
        <w:keepNext/>
        <w:spacing w:after="0" w:before="40"/>
        <w:jc w:val="left"/>
      </w:pPr>
      <w:r>
        <w:rPr>
          <w:b/>
        </w:rPr>
        <w:t>③ 생산량 감소에 더 크게 작용한 요인</w:t>
      </w:r>
    </w:p>
    <w:p>
      <w:pPr>
        <w:widowControl/>
        <w:spacing w:after="50" w:before="0"/>
        <w:ind w:firstLine="220"/>
        <w:jc w:val="both"/>
      </w:pPr>
      <w:r>
        <w:rPr>
          <w:rFonts w:ascii="맑은 고딕" w:hAnsi="맑은 고딕"/>
          <w:sz w:val="20"/>
        </w:rPr>
        <w:t>표 1에서 재배면적은 26.8%, 단수는 9.4% 감소했습니다. 그래프 3에서도 생산량 지수는 대체로 재배면적 지수와 비슷한 흐름을 보였습니다. 지난 20년간 생산량이 33.7% 줄어든 데에는 단수 하락보다 재배면적 축소가 더 크게 작용했다고 판단했습니다.</w:t>
      </w:r>
    </w:p>
    <w:p>
      <w:pPr>
        <w:widowControl/>
        <w:spacing w:after="50" w:before="0"/>
        <w:ind w:firstLine="220"/>
        <w:jc w:val="both"/>
      </w:pPr>
      <w:r>
        <w:rPr>
          <w:rFonts w:ascii="맑은 고딕" w:hAnsi="맑은 고딕"/>
          <w:sz w:val="20"/>
        </w:rPr>
        <w:t>2024년 재배면적에서 2005년의 생산량을 내려면 단수가 얼마나 높아져야 하는지도 계산했습니다. 필요한 단수는 약 3,731kg/10a로, 분석 기간 중 가장 높았던 2008년의 2,943kg/10a보다 약 27% 높은 수준입니다. 저는 이 차이 때문에 단수 향상만을 생산량 회복의 해법으로 제시하기 어렵다고 봅니다. 농가가 감자 재배면적을 유지할 수 있는 조건도 함께 살펴야 합니다.</w:t>
      </w:r>
    </w:p>
    <w:p>
      <w:pPr>
        <w:widowControl/>
        <w:spacing w:after="50" w:before="0"/>
        <w:ind w:firstLine="220"/>
        <w:jc w:val="both"/>
      </w:pPr>
      <w:r>
        <w:rPr>
          <w:rFonts w:ascii="맑은 고딕" w:hAnsi="맑은 고딕"/>
          <w:sz w:val="20"/>
        </w:rPr>
        <w:t>재배면적은 농가의 작목 선택과도 관련이 있을 수 있습니다. 2011년 보도에는 전년도 감자 가격이 하락한 뒤 제주 지역에서 당근이나 무로 작목을 전환한 사례가 소개됐습니다(경북매일신문, 2011.10.25). 실제로 2011년 가을감자 재배면적은 전년보다 19.0% 감소했습니다. 이 사례에서는 가격 변동이 당장의 판매 수익뿐 아니라 다음 해 재배면적에도 영향을 줄 수 있다는 점을 생각하게 됐습니다.</w:t>
      </w:r>
    </w:p>
    <w:p>
      <w:pPr>
        <w:widowControl/>
        <w:spacing w:after="50" w:before="0"/>
        <w:ind w:firstLine="220"/>
        <w:jc w:val="both"/>
      </w:pPr>
      <w:r>
        <w:rPr>
          <w:rFonts w:ascii="맑은 고딕" w:hAnsi="맑은 고딕"/>
          <w:sz w:val="20"/>
        </w:rPr>
        <w:t>물론 이 사례만으로 제주 지역의 20년간 재배면적 감소를 모두 설명할 수는 없습니다. 다른 작목의 수익성이나 생산비, 지역별 재배 여건도 함께 살펴야 합니다. 다만 감자 재배를 늘리려면 생산량을 높이는 방법뿐 아니라 농가가 다음 해에도 감자를 선택할 만한 경제적 조건이 갖춰져 있는지 따져 볼 필요가 있습니다.</w:t>
      </w:r>
    </w:p>
    <w:p>
      <w:pPr>
        <w:keepNext/>
        <w:pageBreakBefore/>
        <w:spacing w:after="0" w:before="40"/>
        <w:jc w:val="left"/>
      </w:pPr>
      <w:r>
        <w:rPr>
          <w:b/>
        </w:rPr>
        <w:t>④ 2006년과 2017년의 차이</w:t>
      </w:r>
    </w:p>
    <w:p>
      <w:pPr>
        <w:widowControl/>
        <w:spacing w:after="50" w:before="0"/>
        <w:ind w:firstLine="220"/>
        <w:jc w:val="both"/>
      </w:pPr>
      <w:r>
        <w:rPr>
          <w:rFonts w:ascii="맑은 고딕" w:hAnsi="맑은 고딕"/>
          <w:sz w:val="20"/>
        </w:rPr>
        <w:t>2006년에는 총생산량이 전년보다 29.4% 감소했습니다. 재배면적은 26.8% 줄었지만 단수는 3.6% 감소하는 데 그쳤습니다. 일반봄감자와 가을감자의 재배면적도 각각 25.3%, 39.5% 줄었습니다. 이때는 단수보다 재배면적 변화가 생산량 감소를 주도했습니다. 어떤 재배기술이 부족했는지를 논하기에 앞서 왜 감자를 심는 면적이 갑자기 줄었는지부터 살펴봐야 할 상황입니다.</w:t>
      </w:r>
    </w:p>
    <w:p>
      <w:pPr>
        <w:widowControl/>
        <w:spacing w:after="50" w:before="0"/>
        <w:ind w:firstLine="220"/>
        <w:jc w:val="both"/>
      </w:pPr>
      <w:r>
        <w:rPr>
          <w:rFonts w:ascii="맑은 고딕" w:hAnsi="맑은 고딕"/>
          <w:sz w:val="20"/>
        </w:rPr>
        <w:t>다만 2006년 재배면적 급감의 원인은 이번 통계에서 확인하지 못했습니다. 생산량 감소에 크게 작용한 요인과 그 요인이 달라진 이유는 구분해서 판단해야 한다고 생각합니다.</w:t>
      </w:r>
    </w:p>
    <w:p>
      <w:pPr>
        <w:widowControl/>
        <w:spacing w:after="50" w:before="0"/>
        <w:ind w:firstLine="220"/>
        <w:jc w:val="both"/>
      </w:pPr>
      <w:r>
        <w:rPr>
          <w:rFonts w:ascii="맑은 고딕" w:hAnsi="맑은 고딕"/>
          <w:sz w:val="20"/>
        </w:rPr>
        <w:t>반면 2017년은 재배면적이 4.7% 감소한 데 비해 단수가 11.9% 떨어졌습니다. 총생산량은 16.0% 줄었고, 일반봄감자의 단수도 2,152kg/10a로 분석 기간 중 가장 낮았습니다. 2006년과 달리 이 해에는 재배면적보다 수확량을 떨어뜨린 생육·재배 조건을 먼저 살펴야 합니다. 다만 어떤 기상 요인이 작황 부진에 결정적으로 작용했는지는 자료만으로 판단하기 어렵습니다.</w:t>
      </w:r>
    </w:p>
    <w:p>
      <w:pPr>
        <w:widowControl/>
        <w:spacing w:after="50" w:before="0"/>
        <w:ind w:firstLine="220"/>
        <w:jc w:val="both"/>
      </w:pPr>
      <w:r>
        <w:rPr>
          <w:rFonts w:ascii="맑은 고딕" w:hAnsi="맑은 고딕"/>
          <w:sz w:val="20"/>
        </w:rPr>
        <w:t>비즈워치는 2017년의 작황 부진과 2018년의 한파 이후 감자 가격이 상승했다고 보도했습니다(2018.5.9). 생산량이 줄면 가격에도 영향을 줄 수 있으므로 단수 변화는 농가의 문제에만 그치지 않습니다. 다만 기사에 나온 2017년 생산량 감소율(20.7%)은 이번 KOSIS 자료(16.0%)와 달라, 감소율 비교에는 KOSIS 수치를 사용했습니다.</w:t>
      </w:r>
    </w:p>
    <w:p>
      <w:pPr>
        <w:widowControl/>
        <w:spacing w:after="50" w:before="0"/>
        <w:ind w:firstLine="220"/>
        <w:jc w:val="both"/>
      </w:pPr>
      <w:r>
        <w:rPr>
          <w:rFonts w:ascii="맑은 고딕" w:hAnsi="맑은 고딕"/>
          <w:sz w:val="20"/>
        </w:rPr>
        <w:t>2018년과 2019년의 재배면적은 각각 11.6%, 14.6% 증가했습니다. 가격 상승이 재배 확대에 영향을 주었을 가능성은 있으나, 이를 확인하려면 작목별 수익성 자료가 더 필요합니다. 다만 농가가 전년도 가격에 따라 재배면적을 자주 바꾼다면 공급과 가격도 함께 흔들릴 수 있습니다. 저는 단수를 높이는 기술과 더불어 농가의 가격·소득 위험을 줄이는 방법도 논의할 필요가 있다고 생각합니다.</w:t>
      </w:r>
    </w:p>
    <w:p>
      <w:pPr>
        <w:keepNext/>
        <w:spacing w:after="40" w:before="120"/>
        <w:jc w:val="left"/>
      </w:pPr>
      <w:r>
        <w:rPr>
          <w:b/>
          <w:sz w:val="24"/>
        </w:rPr>
        <w:t>4. 맺음말</w:t>
      </w:r>
    </w:p>
    <w:p>
      <w:pPr>
        <w:widowControl/>
        <w:spacing w:after="50" w:before="0"/>
        <w:ind w:firstLine="220"/>
        <w:jc w:val="both"/>
      </w:pPr>
      <w:r>
        <w:rPr>
          <w:rFonts w:ascii="맑은 고딕" w:hAnsi="맑은 고딕"/>
          <w:sz w:val="20"/>
        </w:rPr>
        <w:t>이번 통계에서 가장 눈에 띈 것은 생산량이 33.7% 줄었다는 결과보다 재배면적이 장기간 회복되지 않았다는 사실입니다. 2024년 면적에서 2005년 생산량을 얻으려면 지난 20년간 최고 단수보다도 높은 수확량이 필요합니다. 단수 개선만으로 해결하기 어렵다는 판단을 하게 된 이유입니다. 반면 2017년처럼 단수가 크게 떨어진 해에는 재배면적이 많이 변하지 않아도 생산량이 급감했습니다.</w:t>
      </w:r>
    </w:p>
    <w:p>
      <w:pPr>
        <w:widowControl/>
        <w:spacing w:after="50" w:before="0"/>
        <w:ind w:firstLine="220"/>
        <w:jc w:val="both"/>
      </w:pPr>
      <w:r>
        <w:rPr>
          <w:rFonts w:ascii="맑은 고딕" w:hAnsi="맑은 고딕"/>
          <w:sz w:val="20"/>
        </w:rPr>
        <w:t>창고에서 물량 데이터를 다루다 보면 전체 물량이 줄었다는 숫자보다 어디에서 차이가 났는지를 먼저 살펴보게 됩니다. 감자도 마찬가지였습니다. 장기간 줄어든 재배면적을 단수 문제로만 설명한다면 농가가 감자를 덜 심게 된 이유는 놓치게 됩니다.</w:t>
      </w:r>
    </w:p>
    <w:p>
      <w:pPr>
        <w:widowControl/>
        <w:spacing w:after="50" w:before="0"/>
        <w:ind w:firstLine="220"/>
        <w:jc w:val="both"/>
      </w:pPr>
      <w:r>
        <w:rPr>
          <w:rFonts w:ascii="맑은 고딕" w:hAnsi="맑은 고딕"/>
          <w:sz w:val="20"/>
        </w:rPr>
        <w:t>저는 단수 향상만을 앞세우는 대책은 충분하지 않다고 봅니다. 재배면적 감소의 영향이 더 컸고, 그 감소분도 제주 지역에 상당 부분 집중돼 있었기 때문입니다. 우선 면적이 크게 줄어든 지역에서 농가가 감자 재배를 줄인 이유부터 조사해야 합니다. 이와 별도로 2017년처럼 단수가 급감한 해에는 작황이 나빠진 원인과 재배 관리 방법을 살펴야 할 것입니다. 생산량 감소를 하나의 문제로 묶기보다 원인에 맞게 접근하는 것이 이번 분석에서 내린 결론입니다.</w:t>
      </w:r>
    </w:p>
    <w:p>
      <w:pPr>
        <w:keepNext/>
        <w:spacing w:after="40" w:before="120"/>
        <w:jc w:val="left"/>
      </w:pPr>
      <w:r>
        <w:rPr>
          <w:b/>
          <w:sz w:val="22"/>
        </w:rPr>
        <w:t>자료 출처 및 참고문헌</w:t>
      </w:r>
    </w:p>
    <w:p>
      <w:pPr>
        <w:keepNext/>
        <w:spacing w:after="0" w:before="0" w:line="312" w:lineRule="auto"/>
        <w:ind w:hanging="240" w:left="240"/>
        <w:jc w:val="left"/>
      </w:pPr>
      <w:r>
        <w:rPr>
          <w:b w:val="0"/>
          <w:sz w:val="19"/>
        </w:rPr>
        <w:t>국가데이터처, 「농작물생산조사」 통계표 '서류생산량(생서)', KOSIS 국가통계포털(kosis.kr), 2026.10.10. 다운로드.</w:t>
      </w:r>
    </w:p>
    <w:p>
      <w:pPr>
        <w:keepNext/>
        <w:spacing w:after="0" w:before="0" w:line="312" w:lineRule="auto"/>
        <w:ind w:hanging="240" w:left="240"/>
        <w:jc w:val="left"/>
      </w:pPr>
      <w:r>
        <w:rPr>
          <w:b w:val="0"/>
          <w:sz w:val="19"/>
        </w:rPr>
        <w:t>경북매일신문(2011.10.25). 「감자 가격 급등… 생산량 줄어」(윤경보 기자). https://kbmaeil.com/article/201110250017072</w:t>
      </w:r>
    </w:p>
    <w:p>
      <w:pPr>
        <w:spacing w:after="0" w:before="0" w:line="312" w:lineRule="auto"/>
        <w:ind w:hanging="240" w:left="240"/>
        <w:jc w:val="left"/>
      </w:pPr>
      <w:r>
        <w:rPr>
          <w:b w:val="0"/>
          <w:sz w:val="19"/>
        </w:rPr>
        <w:t>비즈워치(2018.5.9). 「[핀셋] 감자?금자!① 감자전 한 장 1만5000원 된 사연」(정재웅 기자). https://news.bizwatch.co.kr/article/consumer/2018/05/08/0011</w:t>
      </w:r>
    </w:p>
    <w:sectPr w:rsidR="00FC693F" w:rsidRPr="0006063C" w:rsidSect="00034616">
      <w:pgSz w:w="11906" w:h="16838"/>
      <w:pgMar w:top="1134" w:right="1134" w:bottom="850"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바탕" w:hAnsi="바탕" w:eastAsia="바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900" b="1"/>
            </a:pPr>
            <a:r>
              <a:rPr lang="ko-KR" sz="900" b="1">
                <a:latin typeface="맑은 고딕"/>
                <a:ea typeface="맑은 고딕"/>
              </a:rPr>
              <a:t>그래프 1. 연도별 재배면적 변화</a:t>
            </a:r>
          </a:p>
        </c:rich>
      </c:tx>
      <c:overlay val="0"/>
    </c:title>
    <c:autoTitleDeleted val="0"/>
    <c:plotArea>
      <c:layout/>
      <c:lineChart>
        <c:grouping val="standard"/>
        <c:varyColors val="0"/>
        <c:ser>
          <c:idx val="0"/>
          <c:order val="0"/>
          <c:tx>
            <c:strRef>
              <c:f>Sheet1!$B$1</c:f>
              <c:strCache>
                <c:ptCount val="1"/>
                <c:pt idx="0">
                  <c:v>재배면적(ha)</c:v>
                </c:pt>
              </c:strCache>
            </c:strRef>
          </c:tx>
          <c:spPr>
            <a:ln w="19050">
              <a:solidFill>
                <a:srgbClr val="2E5C8A"/>
              </a:solidFill>
            </a:ln>
          </c:spPr>
          <c:marker>
            <c:symbol val="circle"/>
            <c:size val="4"/>
            <c:spPr>
              <a:solidFill>
                <a:srgbClr val="2E5C8A"/>
              </a:solidFill>
              <a:ln>
                <a:solidFill>
                  <a:srgbClr val="2E5C8A"/>
                </a:solidFill>
              </a:ln>
            </c:spPr>
          </c:marker>
          <c:cat>
            <c:numRef>
              <c:f>Sheet1!$A$2:$A$21</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Sheet1!$B$2:$B$21</c:f>
              <c:numCache>
                <c:formatCode>General</c:formatCode>
                <c:ptCount val="20"/>
                <c:pt idx="0">
                  <c:v>32728</c:v>
                </c:pt>
                <c:pt idx="1">
                  <c:v>23957</c:v>
                </c:pt>
                <c:pt idx="2">
                  <c:v>20421</c:v>
                </c:pt>
                <c:pt idx="3">
                  <c:v>20540</c:v>
                </c:pt>
                <c:pt idx="4">
                  <c:v>21396</c:v>
                </c:pt>
                <c:pt idx="5">
                  <c:v>24913</c:v>
                </c:pt>
                <c:pt idx="6">
                  <c:v>26804</c:v>
                </c:pt>
                <c:pt idx="7">
                  <c:v>24930</c:v>
                </c:pt>
                <c:pt idx="8">
                  <c:v>27430</c:v>
                </c:pt>
                <c:pt idx="9">
                  <c:v>21472</c:v>
                </c:pt>
                <c:pt idx="10">
                  <c:v>20234</c:v>
                </c:pt>
                <c:pt idx="11">
                  <c:v>22000</c:v>
                </c:pt>
                <c:pt idx="12">
                  <c:v>20974</c:v>
                </c:pt>
                <c:pt idx="13">
                  <c:v>23402</c:v>
                </c:pt>
                <c:pt idx="14">
                  <c:v>26829</c:v>
                </c:pt>
                <c:pt idx="15">
                  <c:v>23599</c:v>
                </c:pt>
                <c:pt idx="16">
                  <c:v>21745</c:v>
                </c:pt>
                <c:pt idx="17">
                  <c:v>20088</c:v>
                </c:pt>
                <c:pt idx="18">
                  <c:v>22525</c:v>
                </c:pt>
                <c:pt idx="19">
                  <c:v>23969</c:v>
                </c:pt>
              </c:numCache>
            </c:numRef>
          </c:val>
          <c:smooth val="0"/>
        </c:ser>
        <c:marker val="1"/>
        <c:axId val="50010001"/>
        <c:axId val="50010002"/>
      </c:lineChart>
      <c:catAx>
        <c:axId val="50010001"/>
        <c:scaling>
          <c:orientation val="minMax"/>
        </c:scaling>
        <c:delete val="0"/>
        <c:axPos val="b"/>
        <c:title>
          <c:tx>
            <c:rich>
              <a:bodyPr/>
              <a:lstStyle/>
              <a:p>
                <a:pPr>
                  <a:defRPr sz="800" b="0"/>
                </a:pPr>
                <a:r>
                  <a:rPr lang="ko-KR" sz="800" b="0">
                    <a:latin typeface="맑은 고딕"/>
                    <a:ea typeface="맑은 고딕"/>
                  </a:rPr>
                  <a:t>연도</a:t>
                </a:r>
              </a:p>
            </c:rich>
          </c:tx>
          <c:overlay val="0"/>
        </c:title>
        <c:numFmt formatCode="General" sourceLinked="1"/>
        <c:majorTickMark val="out"/>
        <c:minorTickMark val="none"/>
        <c:tickLblPos val="nextTo"/>
        <c:txPr>
          <a:bodyPr/>
          <a:lstStyle/>
          <a:p>
            <a:pPr>
              <a:defRPr sz="800">
                <a:latin typeface="맑은 고딕"/>
                <a:ea typeface="맑은 고딕"/>
              </a:defRPr>
            </a:pPr>
            <a:endParaRPr lang="ko-KR"/>
          </a:p>
        </c:txPr>
        <c:crossAx val="50010002"/>
        <c:crosses val="autoZero"/>
        <c:auto val="1"/>
        <c:lblAlgn val="ctr"/>
        <c:lblOffset val="100"/>
        <c:noMultiLvlLbl val="0"/>
      </c:catAx>
      <c:valAx>
        <c:axId val="50010002"/>
        <c:scaling>
          <c:orientation val="minMax"/>
        </c:scaling>
        <c:delete val="0"/>
        <c:axPos val="l"/>
        <c:majorGridlines>
          <c:spPr>
            <a:ln w="6350">
              <a:solidFill>
                <a:srgbClr val="D9D9D9"/>
              </a:solidFill>
            </a:ln>
          </c:spPr>
        </c:majorGridlines>
        <c:title>
          <c:tx>
            <c:rich>
              <a:bodyPr rot="-5400000" vert="horz"/>
              <a:lstStyle/>
              <a:p>
                <a:pPr>
                  <a:defRPr sz="800" b="0"/>
                </a:pPr>
                <a:r>
                  <a:rPr lang="ko-KR" sz="800" b="0">
                    <a:latin typeface="맑은 고딕"/>
                    <a:ea typeface="맑은 고딕"/>
                  </a:rPr>
                  <a:t>재배면적(ha)</a:t>
                </a:r>
              </a:p>
            </c:rich>
          </c:tx>
          <c:overlay val="0"/>
        </c:title>
        <c:numFmt formatCode="#,##0" sourceLinked="0"/>
        <c:majorTickMark val="out"/>
        <c:minorTickMark val="none"/>
        <c:tickLblPos val="nextTo"/>
        <c:txPr>
          <a:bodyPr/>
          <a:lstStyle/>
          <a:p>
            <a:pPr>
              <a:defRPr sz="800">
                <a:latin typeface="맑은 고딕"/>
                <a:ea typeface="맑은 고딕"/>
              </a:defRPr>
            </a:pPr>
            <a:endParaRPr lang="ko-KR"/>
          </a:p>
        </c:txPr>
        <c:crossAx val="50010001"/>
        <c:crosses val="autoZero"/>
        <c:crossBetween val="between"/>
      </c:valAx>
    </c:plotArea>
    <c:plotVisOnly val="1"/>
    <c:dispBlanksAs val="gap"/>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900" b="1"/>
            </a:pPr>
            <a:r>
              <a:rPr lang="ko-KR" sz="900" b="1">
                <a:latin typeface="맑은 고딕"/>
                <a:ea typeface="맑은 고딕"/>
              </a:rPr>
              <a:t>그래프 2. 연도별 단수(10a당 생산량) 변화</a:t>
            </a:r>
          </a:p>
        </c:rich>
      </c:tx>
      <c:overlay val="0"/>
    </c:title>
    <c:autoTitleDeleted val="0"/>
    <c:plotArea>
      <c:layout/>
      <c:lineChart>
        <c:grouping val="standard"/>
        <c:varyColors val="0"/>
        <c:ser>
          <c:idx val="0"/>
          <c:order val="0"/>
          <c:tx>
            <c:strRef>
              <c:f>Sheet1!$B$1</c:f>
              <c:strCache>
                <c:ptCount val="1"/>
                <c:pt idx="0">
                  <c:v>단수(kg/10a)</c:v>
                </c:pt>
              </c:strCache>
            </c:strRef>
          </c:tx>
          <c:spPr>
            <a:ln w="19050">
              <a:solidFill>
                <a:srgbClr val="2E5C8A"/>
              </a:solidFill>
            </a:ln>
          </c:spPr>
          <c:marker>
            <c:symbol val="circle"/>
            <c:size val="4"/>
            <c:spPr>
              <a:solidFill>
                <a:srgbClr val="2E5C8A"/>
              </a:solidFill>
              <a:ln>
                <a:solidFill>
                  <a:srgbClr val="2E5C8A"/>
                </a:solidFill>
              </a:ln>
            </c:spPr>
          </c:marker>
          <c:cat>
            <c:numRef>
              <c:f>Sheet1!$A$2:$A$21</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Sheet1!$B$2:$B$21</c:f>
              <c:numCache>
                <c:formatCode>General</c:formatCode>
                <c:ptCount val="20"/>
                <c:pt idx="0">
                  <c:v>2732</c:v>
                </c:pt>
                <c:pt idx="1">
                  <c:v>2634</c:v>
                </c:pt>
                <c:pt idx="2">
                  <c:v>2813</c:v>
                </c:pt>
                <c:pt idx="3">
                  <c:v>2943</c:v>
                </c:pt>
                <c:pt idx="4">
                  <c:v>2762</c:v>
                </c:pt>
                <c:pt idx="5">
                  <c:v>2475</c:v>
                </c:pt>
                <c:pt idx="6">
                  <c:v>2321</c:v>
                </c:pt>
                <c:pt idx="7">
                  <c:v>2437</c:v>
                </c:pt>
                <c:pt idx="8">
                  <c:v>2652</c:v>
                </c:pt>
                <c:pt idx="9">
                  <c:v>2750</c:v>
                </c:pt>
                <c:pt idx="10">
                  <c:v>2658</c:v>
                </c:pt>
                <c:pt idx="11">
                  <c:v>2526</c:v>
                </c:pt>
                <c:pt idx="12">
                  <c:v>2225</c:v>
                </c:pt>
                <c:pt idx="13">
                  <c:v>2342</c:v>
                </c:pt>
                <c:pt idx="14">
                  <c:v>2573</c:v>
                </c:pt>
                <c:pt idx="15">
                  <c:v>2344</c:v>
                </c:pt>
                <c:pt idx="16">
                  <c:v>2552</c:v>
                </c:pt>
                <c:pt idx="17">
                  <c:v>2392</c:v>
                </c:pt>
                <c:pt idx="18">
                  <c:v>2443</c:v>
                </c:pt>
                <c:pt idx="19">
                  <c:v>2474</c:v>
                </c:pt>
              </c:numCache>
            </c:numRef>
          </c:val>
          <c:smooth val="0"/>
        </c:ser>
        <c:marker val="1"/>
        <c:axId val="50010001"/>
        <c:axId val="50010002"/>
      </c:lineChart>
      <c:catAx>
        <c:axId val="50010001"/>
        <c:scaling>
          <c:orientation val="minMax"/>
        </c:scaling>
        <c:delete val="0"/>
        <c:axPos val="b"/>
        <c:title>
          <c:tx>
            <c:rich>
              <a:bodyPr/>
              <a:lstStyle/>
              <a:p>
                <a:pPr>
                  <a:defRPr sz="800" b="0"/>
                </a:pPr>
                <a:r>
                  <a:rPr lang="ko-KR" sz="800" b="0">
                    <a:latin typeface="맑은 고딕"/>
                    <a:ea typeface="맑은 고딕"/>
                  </a:rPr>
                  <a:t>연도</a:t>
                </a:r>
              </a:p>
            </c:rich>
          </c:tx>
          <c:overlay val="0"/>
        </c:title>
        <c:numFmt formatCode="General" sourceLinked="1"/>
        <c:majorTickMark val="out"/>
        <c:minorTickMark val="none"/>
        <c:tickLblPos val="nextTo"/>
        <c:txPr>
          <a:bodyPr/>
          <a:lstStyle/>
          <a:p>
            <a:pPr>
              <a:defRPr sz="800">
                <a:latin typeface="맑은 고딕"/>
                <a:ea typeface="맑은 고딕"/>
              </a:defRPr>
            </a:pPr>
            <a:endParaRPr lang="ko-KR"/>
          </a:p>
        </c:txPr>
        <c:crossAx val="50010002"/>
        <c:crosses val="autoZero"/>
        <c:auto val="1"/>
        <c:lblAlgn val="ctr"/>
        <c:lblOffset val="100"/>
        <c:noMultiLvlLbl val="0"/>
      </c:catAx>
      <c:valAx>
        <c:axId val="50010002"/>
        <c:scaling>
          <c:orientation val="minMax"/>
        </c:scaling>
        <c:delete val="0"/>
        <c:axPos val="l"/>
        <c:majorGridlines>
          <c:spPr>
            <a:ln w="6350">
              <a:solidFill>
                <a:srgbClr val="D9D9D9"/>
              </a:solidFill>
            </a:ln>
          </c:spPr>
        </c:majorGridlines>
        <c:title>
          <c:tx>
            <c:rich>
              <a:bodyPr rot="-5400000" vert="horz"/>
              <a:lstStyle/>
              <a:p>
                <a:pPr>
                  <a:defRPr sz="800" b="0"/>
                </a:pPr>
                <a:r>
                  <a:rPr lang="ko-KR" sz="800" b="0">
                    <a:latin typeface="맑은 고딕"/>
                    <a:ea typeface="맑은 고딕"/>
                  </a:rPr>
                  <a:t>단수(kg/10a)</a:t>
                </a:r>
              </a:p>
            </c:rich>
          </c:tx>
          <c:overlay val="0"/>
        </c:title>
        <c:numFmt formatCode="#,##0" sourceLinked="0"/>
        <c:majorTickMark val="out"/>
        <c:minorTickMark val="none"/>
        <c:tickLblPos val="nextTo"/>
        <c:txPr>
          <a:bodyPr/>
          <a:lstStyle/>
          <a:p>
            <a:pPr>
              <a:defRPr sz="800">
                <a:latin typeface="맑은 고딕"/>
                <a:ea typeface="맑은 고딕"/>
              </a:defRPr>
            </a:pPr>
            <a:endParaRPr lang="ko-KR"/>
          </a:p>
        </c:txPr>
        <c:crossAx val="50010001"/>
        <c:crosses val="autoZero"/>
        <c:crossBetween val="between"/>
      </c:valAx>
    </c:plotArea>
    <c:plotVisOnly val="1"/>
    <c:dispBlanksAs val="gap"/>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pPr>
            <a:r>
              <a:rPr lang="ko-KR" sz="1000" b="1">
                <a:latin typeface="맑은 고딕"/>
                <a:ea typeface="맑은 고딕"/>
              </a:rPr>
              <a:t>그래프 3. 재배면적·단수·생산량 지수 변화(2005=100)</a:t>
            </a:r>
          </a:p>
        </c:rich>
      </c:tx>
      <c:overlay val="0"/>
    </c:title>
    <c:autoTitleDeleted val="0"/>
    <c:plotArea>
      <c:layout/>
      <c:lineChart>
        <c:grouping val="standard"/>
        <c:varyColors val="0"/>
        <c:ser>
          <c:idx val="0"/>
          <c:order val="0"/>
          <c:tx>
            <c:strRef>
              <c:f>Sheet1!$B$1</c:f>
              <c:strCache>
                <c:ptCount val="1"/>
                <c:pt idx="0">
                  <c:v>재배면적 지수</c:v>
                </c:pt>
              </c:strCache>
            </c:strRef>
          </c:tx>
          <c:spPr>
            <a:ln w="19050">
              <a:solidFill>
                <a:srgbClr val="2E5C8A"/>
              </a:solidFill>
            </a:ln>
          </c:spPr>
          <c:marker>
            <c:symbol val="circle"/>
            <c:size val="4"/>
            <c:spPr>
              <a:solidFill>
                <a:srgbClr val="2E5C8A"/>
              </a:solidFill>
              <a:ln>
                <a:solidFill>
                  <a:srgbClr val="2E5C8A"/>
                </a:solidFill>
              </a:ln>
            </c:spPr>
          </c:marker>
          <c:cat>
            <c:numRef>
              <c:f>Sheet1!$A$2:$A$21</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Sheet1!$B$2:$B$21</c:f>
              <c:numCache>
                <c:formatCode>General</c:formatCode>
                <c:ptCount val="20"/>
                <c:pt idx="0">
                  <c:v>100.0</c:v>
                </c:pt>
                <c:pt idx="1">
                  <c:v>73.2</c:v>
                </c:pt>
                <c:pt idx="2">
                  <c:v>62.4</c:v>
                </c:pt>
                <c:pt idx="3">
                  <c:v>62.8</c:v>
                </c:pt>
                <c:pt idx="4">
                  <c:v>65.4</c:v>
                </c:pt>
                <c:pt idx="5">
                  <c:v>76.1</c:v>
                </c:pt>
                <c:pt idx="6">
                  <c:v>81.9</c:v>
                </c:pt>
                <c:pt idx="7">
                  <c:v>76.2</c:v>
                </c:pt>
                <c:pt idx="8">
                  <c:v>83.8</c:v>
                </c:pt>
                <c:pt idx="9">
                  <c:v>65.6</c:v>
                </c:pt>
                <c:pt idx="10">
                  <c:v>61.8</c:v>
                </c:pt>
                <c:pt idx="11">
                  <c:v>67.2</c:v>
                </c:pt>
                <c:pt idx="12">
                  <c:v>64.1</c:v>
                </c:pt>
                <c:pt idx="13">
                  <c:v>71.5</c:v>
                </c:pt>
                <c:pt idx="14">
                  <c:v>82.0</c:v>
                </c:pt>
                <c:pt idx="15">
                  <c:v>72.1</c:v>
                </c:pt>
                <c:pt idx="16">
                  <c:v>66.4</c:v>
                </c:pt>
                <c:pt idx="17">
                  <c:v>61.4</c:v>
                </c:pt>
                <c:pt idx="18">
                  <c:v>68.8</c:v>
                </c:pt>
                <c:pt idx="19">
                  <c:v>73.2</c:v>
                </c:pt>
              </c:numCache>
            </c:numRef>
          </c:val>
          <c:smooth val="0"/>
        </c:ser>
        <c:ser>
          <c:idx val="1"/>
          <c:order val="1"/>
          <c:tx>
            <c:strRef>
              <c:f>Sheet1!$C$1</c:f>
              <c:strCache>
                <c:ptCount val="1"/>
                <c:pt idx="0">
                  <c:v>단수 지수</c:v>
                </c:pt>
              </c:strCache>
            </c:strRef>
          </c:tx>
          <c:spPr>
            <a:ln w="19050">
              <a:solidFill>
                <a:srgbClr val="C0504D"/>
              </a:solidFill>
            </a:ln>
          </c:spPr>
          <c:marker>
            <c:symbol val="circle"/>
            <c:size val="4"/>
            <c:spPr>
              <a:solidFill>
                <a:srgbClr val="C0504D"/>
              </a:solidFill>
              <a:ln>
                <a:solidFill>
                  <a:srgbClr val="C0504D"/>
                </a:solidFill>
              </a:ln>
            </c:spPr>
          </c:marker>
          <c:cat>
            <c:numRef>
              <c:f>Sheet1!$A$2:$A$21</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Sheet1!$C$2:$C$21</c:f>
              <c:numCache>
                <c:formatCode>General</c:formatCode>
                <c:ptCount val="20"/>
                <c:pt idx="0">
                  <c:v>100.0</c:v>
                </c:pt>
                <c:pt idx="1">
                  <c:v>96.4</c:v>
                </c:pt>
                <c:pt idx="2">
                  <c:v>103.0</c:v>
                </c:pt>
                <c:pt idx="3">
                  <c:v>107.7</c:v>
                </c:pt>
                <c:pt idx="4">
                  <c:v>101.1</c:v>
                </c:pt>
                <c:pt idx="5">
                  <c:v>90.6</c:v>
                </c:pt>
                <c:pt idx="6">
                  <c:v>85.0</c:v>
                </c:pt>
                <c:pt idx="7">
                  <c:v>89.2</c:v>
                </c:pt>
                <c:pt idx="8">
                  <c:v>97.1</c:v>
                </c:pt>
                <c:pt idx="9">
                  <c:v>100.7</c:v>
                </c:pt>
                <c:pt idx="10">
                  <c:v>97.3</c:v>
                </c:pt>
                <c:pt idx="11">
                  <c:v>92.5</c:v>
                </c:pt>
                <c:pt idx="12">
                  <c:v>81.4</c:v>
                </c:pt>
                <c:pt idx="13">
                  <c:v>85.7</c:v>
                </c:pt>
                <c:pt idx="14">
                  <c:v>94.2</c:v>
                </c:pt>
                <c:pt idx="15">
                  <c:v>85.8</c:v>
                </c:pt>
                <c:pt idx="16">
                  <c:v>93.4</c:v>
                </c:pt>
                <c:pt idx="17">
                  <c:v>87.6</c:v>
                </c:pt>
                <c:pt idx="18">
                  <c:v>89.4</c:v>
                </c:pt>
                <c:pt idx="19">
                  <c:v>90.6</c:v>
                </c:pt>
              </c:numCache>
            </c:numRef>
          </c:val>
          <c:smooth val="0"/>
        </c:ser>
        <c:ser>
          <c:idx val="2"/>
          <c:order val="2"/>
          <c:tx>
            <c:strRef>
              <c:f>Sheet1!$D$1</c:f>
              <c:strCache>
                <c:ptCount val="1"/>
                <c:pt idx="0">
                  <c:v>생산량 지수</c:v>
                </c:pt>
              </c:strCache>
            </c:strRef>
          </c:tx>
          <c:spPr>
            <a:ln w="19050">
              <a:solidFill>
                <a:srgbClr val="4F9A3A"/>
              </a:solidFill>
            </a:ln>
          </c:spPr>
          <c:marker>
            <c:symbol val="circle"/>
            <c:size val="4"/>
            <c:spPr>
              <a:solidFill>
                <a:srgbClr val="4F9A3A"/>
              </a:solidFill>
              <a:ln>
                <a:solidFill>
                  <a:srgbClr val="4F9A3A"/>
                </a:solidFill>
              </a:ln>
            </c:spPr>
          </c:marker>
          <c:cat>
            <c:numRef>
              <c:f>Sheet1!$A$2:$A$21</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Sheet1!$D$2:$D$21</c:f>
              <c:numCache>
                <c:formatCode>General</c:formatCode>
                <c:ptCount val="20"/>
                <c:pt idx="0">
                  <c:v>100.0</c:v>
                </c:pt>
                <c:pt idx="1">
                  <c:v>70.6</c:v>
                </c:pt>
                <c:pt idx="2">
                  <c:v>64.2</c:v>
                </c:pt>
                <c:pt idx="3">
                  <c:v>67.6</c:v>
                </c:pt>
                <c:pt idx="4">
                  <c:v>66.1</c:v>
                </c:pt>
                <c:pt idx="5">
                  <c:v>69.0</c:v>
                </c:pt>
                <c:pt idx="6">
                  <c:v>69.6</c:v>
                </c:pt>
                <c:pt idx="7">
                  <c:v>67.9</c:v>
                </c:pt>
                <c:pt idx="8">
                  <c:v>81.3</c:v>
                </c:pt>
                <c:pt idx="9">
                  <c:v>66.0</c:v>
                </c:pt>
                <c:pt idx="10">
                  <c:v>60.1</c:v>
                </c:pt>
                <c:pt idx="11">
                  <c:v>62.1</c:v>
                </c:pt>
                <c:pt idx="12">
                  <c:v>52.2</c:v>
                </c:pt>
                <c:pt idx="13">
                  <c:v>61.3</c:v>
                </c:pt>
                <c:pt idx="14">
                  <c:v>77.2</c:v>
                </c:pt>
                <c:pt idx="15">
                  <c:v>61.9</c:v>
                </c:pt>
                <c:pt idx="16">
                  <c:v>62.1</c:v>
                </c:pt>
                <c:pt idx="17">
                  <c:v>53.7</c:v>
                </c:pt>
                <c:pt idx="18">
                  <c:v>61.5</c:v>
                </c:pt>
                <c:pt idx="19">
                  <c:v>66.3</c:v>
                </c:pt>
              </c:numCache>
            </c:numRef>
          </c:val>
          <c:smooth val="0"/>
        </c:ser>
        <c:marker val="1"/>
        <c:axId val="50010001"/>
        <c:axId val="50010002"/>
      </c:lineChart>
      <c:catAx>
        <c:axId val="50010001"/>
        <c:scaling>
          <c:orientation val="minMax"/>
        </c:scaling>
        <c:delete val="0"/>
        <c:axPos val="b"/>
        <c:title>
          <c:tx>
            <c:rich>
              <a:bodyPr/>
              <a:lstStyle/>
              <a:p>
                <a:pPr>
                  <a:defRPr sz="800" b="0"/>
                </a:pPr>
                <a:r>
                  <a:rPr lang="ko-KR" sz="800" b="0">
                    <a:latin typeface="맑은 고딕"/>
                    <a:ea typeface="맑은 고딕"/>
                  </a:rPr>
                  <a:t>연도</a:t>
                </a:r>
              </a:p>
            </c:rich>
          </c:tx>
          <c:overlay val="0"/>
        </c:title>
        <c:numFmt formatCode="General" sourceLinked="1"/>
        <c:majorTickMark val="out"/>
        <c:minorTickMark val="none"/>
        <c:tickLblPos val="nextTo"/>
        <c:txPr>
          <a:bodyPr/>
          <a:lstStyle/>
          <a:p>
            <a:pPr>
              <a:defRPr sz="800">
                <a:latin typeface="맑은 고딕"/>
                <a:ea typeface="맑은 고딕"/>
              </a:defRPr>
            </a:pPr>
            <a:endParaRPr lang="ko-KR"/>
          </a:p>
        </c:txPr>
        <c:crossAx val="50010002"/>
        <c:crosses val="autoZero"/>
        <c:auto val="1"/>
        <c:lblAlgn val="ctr"/>
        <c:lblOffset val="100"/>
        <c:noMultiLvlLbl val="0"/>
      </c:catAx>
      <c:valAx>
        <c:axId val="50010002"/>
        <c:scaling>
          <c:orientation val="minMax"/>
        </c:scaling>
        <c:delete val="0"/>
        <c:axPos val="l"/>
        <c:majorGridlines>
          <c:spPr>
            <a:ln w="6350">
              <a:solidFill>
                <a:srgbClr val="D9D9D9"/>
              </a:solidFill>
            </a:ln>
          </c:spPr>
        </c:majorGridlines>
        <c:title>
          <c:tx>
            <c:rich>
              <a:bodyPr rot="-5400000" vert="horz"/>
              <a:lstStyle/>
              <a:p>
                <a:pPr>
                  <a:defRPr sz="800" b="0"/>
                </a:pPr>
                <a:r>
                  <a:rPr lang="ko-KR" sz="800" b="0">
                    <a:latin typeface="맑은 고딕"/>
                    <a:ea typeface="맑은 고딕"/>
                  </a:rPr>
                  <a:t>지수(2005=100)</a:t>
                </a:r>
              </a:p>
            </c:rich>
          </c:tx>
          <c:overlay val="0"/>
        </c:title>
        <c:numFmt formatCode="0" sourceLinked="0"/>
        <c:majorTickMark val="out"/>
        <c:minorTickMark val="none"/>
        <c:tickLblPos val="nextTo"/>
        <c:txPr>
          <a:bodyPr/>
          <a:lstStyle/>
          <a:p>
            <a:pPr>
              <a:defRPr sz="800">
                <a:latin typeface="맑은 고딕"/>
                <a:ea typeface="맑은 고딕"/>
              </a:defRPr>
            </a:pPr>
            <a:endParaRPr lang="ko-KR"/>
          </a:p>
        </c:txPr>
        <c:crossAx val="50010001"/>
        <c:crosses val="autoZero"/>
        <c:crossBetween val="between"/>
      </c:valAx>
    </c:plotArea>
    <c:legend>
      <c:legendPos val="b"/>
      <c:overlay val="0"/>
      <c:txPr>
        <a:bodyPr/>
        <a:lstStyle/>
        <a:p>
          <a:pPr>
            <a:defRPr sz="800">
              <a:latin typeface="맑은 고딕"/>
              <a:ea typeface="맑은 고딕"/>
            </a:defRPr>
          </a:pPr>
          <a:endParaRPr lang="ko-KR"/>
        </a:p>
      </c:txPr>
    </c:legend>
    <c:plotVisOnly val="1"/>
    <c:dispBlanksAs val="gap"/>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