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autoSpaceDE w:val="0"/>
        <w:snapToGrid w:val="0"/>
        <w:spacing w:before="0" w:after="0" w:line="384" w:lineRule="auto"/>
        <w:ind w:left="0" w:right="0" w:firstLine="0"/>
        <w:jc w:val="center"/>
        <w:textAlignment w:val="baseline"/>
        <w:rPr>
          <w:rFonts w:ascii="HY헤드라인M" w:hAnsi="HY헤드라인M" w:eastAsia="HY헤드라인M" w:cs="Times New Roman"/>
          <w:b w:val="0"/>
          <w:bCs w:val="0"/>
          <w:i w:val="0"/>
          <w:color w:val="000000"/>
          <w:kern w:val="2"/>
          <w:sz w:val="40"/>
          <w:szCs w:val="22"/>
        </w:rPr>
      </w:pPr>
      <w:r>
        <w:rPr>
          <w:rFonts w:ascii="HY헤드라인M" w:hAnsi="HY헤드라인M" w:eastAsia="HY헤드라인M" w:cs="Times New Roman"/>
          <w:b w:val="0"/>
          <w:bCs w:val="0"/>
          <w:i w:val="0"/>
          <w:color w:val="000000"/>
          <w:kern w:val="2"/>
          <w:sz w:val="40"/>
          <w:szCs w:val="22"/>
        </w:rPr>
        <w:t xml:space="preserve">2026  </w:t>
      </w:r>
      <w:r>
        <w:rPr>
          <w:rFonts w:ascii="HY헤드라인M" w:hAnsi="HY헤드라인M" w:eastAsia="HY헤드라인M" w:cs="Times New Roman"/>
          <w:b w:val="0"/>
          <w:bCs w:val="0"/>
          <w:i w:val="0"/>
          <w:color w:val="000000"/>
          <w:kern w:val="2"/>
          <w:sz w:val="40"/>
          <w:szCs w:val="22"/>
        </w:rPr>
        <w:t xml:space="preserve">학년도  2학기 </w:t>
      </w:r>
      <w:r>
        <w:rPr>
          <w:rFonts w:ascii="HY헤드라인M" w:hAnsi="HY헤드라인M" w:eastAsia="HY헤드라인M" w:cs="Times New Roman"/>
          <w:b w:val="0"/>
          <w:bCs w:val="0"/>
          <w:i w:val="0"/>
          <w:color w:val="000000"/>
          <w:kern w:val="2"/>
          <w:sz w:val="40"/>
          <w:szCs w:val="22"/>
        </w:rPr>
        <w:t xml:space="preserve">중간과제물</w:t>
      </w:r>
      <w:r>
        <w:rPr>
          <w:rFonts w:ascii="HY헤드라인M" w:hAnsi="HY헤드라인M" w:eastAsia="HY헤드라인M" w:cs="Times New Roman"/>
          <w:b w:val="0"/>
          <w:bCs w:val="0"/>
          <w:i w:val="0"/>
          <w:color w:val="000000"/>
          <w:kern w:val="2"/>
          <w:sz w:val="40"/>
          <w:szCs w:val="22"/>
        </w:rPr>
        <w:t xml:space="preserve">(</w:t>
      </w:r>
      <w:r>
        <w:rPr>
          <w:rFonts w:ascii="HY헤드라인M" w:hAnsi="HY헤드라인M" w:eastAsia="HY헤드라인M" w:cs="Times New Roman"/>
          <w:b w:val="0"/>
          <w:bCs w:val="0"/>
          <w:i w:val="0"/>
          <w:color w:val="000000"/>
          <w:kern w:val="2"/>
          <w:sz w:val="40"/>
          <w:szCs w:val="22"/>
        </w:rPr>
        <w:t xml:space="preserve">온라인 제출용</w:t>
      </w:r>
      <w:r>
        <w:rPr>
          <w:rFonts w:ascii="HY헤드라인M" w:hAnsi="HY헤드라인M" w:eastAsia="HY헤드라인M" w:cs="Times New Roman"/>
          <w:b w:val="0"/>
          <w:bCs w:val="0"/>
          <w:i w:val="0"/>
          <w:color w:val="000000"/>
          <w:kern w:val="2"/>
          <w:sz w:val="40"/>
          <w:szCs w:val="22"/>
        </w:rPr>
        <w:t xml:space="preserve">)</w:t>
      </w:r>
    </w:p>
    <w:tbl>
      <w:tblPr>
        <w:tblW w:w="9520" w:type="dxa"/>
        <w:jc w:val="left"/>
        <w:tblInd w:w="102" w:type="dxa"/>
        <w:tblBorders>
          <w:top w:val="nil"/>
          <w:left w:val="nil"/>
          <w:bottom w:val="nil"/>
          <w:right w:val="nil"/>
          <w:insideH w:val="nil"/>
          <w:insideV w:val="nil"/>
        </w:tblBorders>
        <w:tblLayout w:type="fixed"/>
        <w:tblCellMar>
          <w:top w:w="28" w:type="dxa"/>
          <w:left w:w="102" w:type="dxa"/>
          <w:bottom w:w="28" w:type="dxa"/>
          <w:right w:w="102" w:type="dxa"/>
        </w:tblCellMar>
        <w:tblLook w:val="0000" w:firstRow="0" w:lastRow="0" w:firstColumn="0" w:lastColumn="0" w:noHBand="0" w:noVBand="0"/>
      </w:tblPr>
      <w:tblGrid>
        <w:gridCol w:w="427"/>
        <w:gridCol w:w="1549"/>
        <w:gridCol w:w="259"/>
        <w:gridCol w:w="7285"/>
      </w:tblGrid>
      <w:tr>
        <w:trPr>
          <w:trHeight w:val="266" w:hRule="atLeast"/>
        </w:trPr>
        <w:tc>
          <w:tcPr>
            <w:tcW w:w="427" w:type="dxa"/>
            <w:tcBorders>
              <w:top w:val="single" w:sz="2" w:space="0" w:color="000000"/>
              <w:lef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바탕" w:hAnsi="바탕" w:eastAsia="바탕" w:cs="Times New Roman"/>
                <w:b w:val="0"/>
                <w:bCs w:val="0"/>
                <w:i w:val="0"/>
                <w:color w:val="000000"/>
                <w:kern w:val="2"/>
                <w:sz w:val="24"/>
                <w:szCs w:val="22"/>
              </w:rPr>
            </w:pPr>
            <w:r>
              <w:rPr>
                <w:rFonts w:ascii="바탕" w:hAnsi="바탕" w:eastAsia="바탕" w:cs="Times New Roman"/>
                <w:b w:val="0"/>
                <w:bCs w:val="0"/>
                <w:i w:val="0"/>
                <w:color w:val="000000"/>
                <w:kern w:val="2"/>
                <w:sz w:val="24"/>
                <w:szCs w:val="22"/>
              </w:rPr>
              <w:t xml:space="preserve"></w:t>
            </w:r>
          </w:p>
        </w:tc>
        <w:tc>
          <w:tcPr>
            <w:tcW w:w="1549" w:type="dxa"/>
            <w:tcBorders>
              <w:top w:val="single" w:sz="2" w:space="0" w:color="000000"/>
            </w:tcBorders>
            <w:vAlign w:val="center"/>
          </w:tcPr>
          <w:p>
            <w:pPr>
              <w:widowControl w:val="0"/>
              <w:autoSpaceDE w:val="0"/>
              <w:snapToGrid w:val="0"/>
              <w:spacing w:before="0" w:after="0" w:line="240" w:lineRule="auto"/>
              <w:ind w:left="0" w:right="0" w:firstLine="0"/>
              <w:jc w:val="distribute"/>
              <w:textAlignment w:val="baseline"/>
              <w:rPr>
                <w:rFonts w:ascii="바탕" w:hAnsi="바탕" w:eastAsia="맑은 고딕" w:cs="Times New Roman"/>
                <w:b/>
                <w:bCs w:val="0"/>
                <w:i w:val="0"/>
                <w:color w:val="000000"/>
                <w:kern w:val="2"/>
                <w:sz w:val="24"/>
                <w:szCs w:val="22"/>
              </w:rPr>
            </w:pPr>
            <w:r>
              <w:rPr>
                <w:rFonts w:ascii="바탕" w:hAnsi="바탕" w:eastAsia="맑은 고딕" w:cs="Times New Roman"/>
                <w:b/>
                <w:bCs w:val="0"/>
                <w:i w:val="0"/>
                <w:color w:val="000000"/>
                <w:kern w:val="2"/>
                <w:sz w:val="24"/>
                <w:szCs w:val="22"/>
              </w:rPr>
              <w:t xml:space="preserve">교과목명</w:t>
            </w:r>
          </w:p>
        </w:tc>
        <w:tc>
          <w:tcPr>
            <w:tcW w:w="259" w:type="dxa"/>
            <w:tcBorders>
              <w:top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바탕" w:cs="Times New Roman"/>
                <w:b w:val="0"/>
                <w:bCs w:val="0"/>
                <w:i w:val="0"/>
                <w:color w:val="000000"/>
                <w:kern w:val="2"/>
                <w:sz w:val="24"/>
                <w:szCs w:val="22"/>
              </w:rPr>
            </w:pPr>
            <w:r>
              <w:rPr>
                <w:rFonts w:ascii="맑은 고딕" w:hAnsi="맑은 고딕" w:eastAsia="바탕" w:cs="Times New Roman"/>
                <w:b w:val="0"/>
                <w:bCs w:val="0"/>
                <w:i w:val="0"/>
                <w:color w:val="000000"/>
                <w:kern w:val="2"/>
                <w:sz w:val="24"/>
                <w:szCs w:val="22"/>
              </w:rPr>
              <w:t xml:space="preserve">:</w:t>
            </w:r>
          </w:p>
        </w:tc>
        <w:tc>
          <w:tcPr>
            <w:tcW w:w="7285" w:type="dxa"/>
            <w:tcBorders>
              <w:top w:val="single" w:sz="2" w:space="0" w:color="000000"/>
              <w:righ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맑은 고딕" w:cs="Times New Roman"/>
                <w:b w:val="0"/>
                <w:bCs w:val="0"/>
                <w:i w:val="0"/>
                <w:color w:val="000000"/>
                <w:kern w:val="2"/>
                <w:sz w:val="24"/>
                <w:szCs w:val="22"/>
              </w:rPr>
            </w:pPr>
            <w:r>
              <w:rPr>
                <w:rFonts w:ascii="맑은 고딕" w:hAnsi="맑은 고딕" w:eastAsia="맑은 고딕" w:cs="Times New Roman"/>
                <w:b w:val="0"/>
                <w:bCs w:val="0"/>
                <w:i w:val="0"/>
                <w:color w:val="000000"/>
                <w:kern w:val="2"/>
                <w:sz w:val="24"/>
                <w:szCs w:val="22"/>
              </w:rPr>
              <w:t xml:space="preserve">원예작물학1</w:t>
            </w:r>
          </w:p>
        </w:tc>
      </w:tr>
      <w:tr>
        <w:trPr>
          <w:trHeight w:val="266" w:hRule="atLeast"/>
        </w:trPr>
        <w:tc>
          <w:tcPr>
            <w:tcW w:w="427" w:type="dxa"/>
            <w:tcBorders>
              <w:lef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바탕" w:hAnsi="바탕" w:eastAsia="바탕" w:cs="Times New Roman"/>
                <w:b w:val="0"/>
                <w:bCs w:val="0"/>
                <w:i w:val="0"/>
                <w:color w:val="000000"/>
                <w:kern w:val="2"/>
                <w:sz w:val="24"/>
                <w:szCs w:val="22"/>
              </w:rPr>
            </w:pPr>
            <w:r>
              <w:rPr>
                <w:rFonts w:ascii="바탕" w:hAnsi="바탕" w:eastAsia="바탕" w:cs="Times New Roman"/>
                <w:b w:val="0"/>
                <w:bCs w:val="0"/>
                <w:i w:val="0"/>
                <w:color w:val="000000"/>
                <w:kern w:val="2"/>
                <w:sz w:val="24"/>
                <w:szCs w:val="22"/>
              </w:rPr>
              <w:t xml:space="preserve"></w:t>
            </w:r>
          </w:p>
        </w:tc>
        <w:tc>
          <w:tcPr>
            <w:tcW w:w="1549" w:type="dxa"/>
            <w:tcBorders/>
            <w:vAlign w:val="center"/>
          </w:tcPr>
          <w:p>
            <w:pPr>
              <w:widowControl w:val="0"/>
              <w:autoSpaceDE w:val="0"/>
              <w:snapToGrid w:val="0"/>
              <w:spacing w:before="0" w:after="0" w:line="240" w:lineRule="auto"/>
              <w:ind w:left="0" w:right="0" w:firstLine="0"/>
              <w:jc w:val="distribute"/>
              <w:textAlignment w:val="baseline"/>
              <w:rPr>
                <w:rFonts w:ascii="바탕" w:hAnsi="바탕" w:eastAsia="맑은 고딕" w:cs="Times New Roman"/>
                <w:b/>
                <w:bCs w:val="0"/>
                <w:i w:val="0"/>
                <w:color w:val="000000"/>
                <w:kern w:val="2"/>
                <w:sz w:val="24"/>
                <w:szCs w:val="22"/>
              </w:rPr>
            </w:pPr>
            <w:r>
              <w:rPr>
                <w:rFonts w:ascii="바탕" w:hAnsi="바탕" w:eastAsia="맑은 고딕" w:cs="Times New Roman"/>
                <w:b/>
                <w:bCs w:val="0"/>
                <w:i w:val="0"/>
                <w:color w:val="000000"/>
                <w:kern w:val="2"/>
                <w:sz w:val="24"/>
                <w:szCs w:val="22"/>
              </w:rPr>
              <w:t xml:space="preserve">학번</w:t>
            </w:r>
          </w:p>
        </w:tc>
        <w:tc>
          <w:tcPr>
            <w:tcW w:w="259" w:type="dxa"/>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바탕" w:cs="Times New Roman"/>
                <w:b w:val="0"/>
                <w:bCs w:val="0"/>
                <w:i w:val="0"/>
                <w:color w:val="000000"/>
                <w:kern w:val="2"/>
                <w:sz w:val="24"/>
                <w:szCs w:val="22"/>
              </w:rPr>
            </w:pPr>
            <w:r>
              <w:rPr>
                <w:rFonts w:ascii="맑은 고딕" w:hAnsi="맑은 고딕" w:eastAsia="바탕" w:cs="Times New Roman"/>
                <w:b w:val="0"/>
                <w:bCs w:val="0"/>
                <w:i w:val="0"/>
                <w:color w:val="000000"/>
                <w:kern w:val="2"/>
                <w:sz w:val="24"/>
                <w:szCs w:val="22"/>
              </w:rPr>
              <w:t xml:space="preserve">:</w:t>
            </w:r>
          </w:p>
        </w:tc>
        <w:tc>
          <w:tcPr>
            <w:tcW w:w="7285" w:type="dxa"/>
            <w:tcBorders>
              <w:righ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맑은 고딕" w:cs="Times New Roman"/>
                <w:b w:val="0"/>
                <w:bCs w:val="0"/>
                <w:i w:val="0"/>
                <w:color w:val="000000"/>
                <w:kern w:val="2"/>
                <w:sz w:val="24"/>
                <w:szCs w:val="22"/>
              </w:rPr>
            </w:pPr>
            <w:r>
              <w:rPr>
                <w:rFonts w:ascii="맑은 고딕" w:hAnsi="맑은 고딕" w:eastAsia="맑은 고딕" w:cs="Times New Roman"/>
                <w:b w:val="0"/>
                <w:bCs w:val="0"/>
                <w:i w:val="0"/>
                <w:color w:val="000000"/>
                <w:kern w:val="2"/>
                <w:sz w:val="24"/>
                <w:szCs w:val="22"/>
              </w:rPr>
              <w:t xml:space="preserve">202631-348563</w:t>
            </w:r>
          </w:p>
        </w:tc>
      </w:tr>
      <w:tr>
        <w:trPr>
          <w:trHeight w:val="266" w:hRule="atLeast"/>
        </w:trPr>
        <w:tc>
          <w:tcPr>
            <w:tcW w:w="427" w:type="dxa"/>
            <w:tcBorders>
              <w:lef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바탕" w:hAnsi="바탕" w:eastAsia="바탕" w:cs="Times New Roman"/>
                <w:b w:val="0"/>
                <w:bCs w:val="0"/>
                <w:i w:val="0"/>
                <w:color w:val="000000"/>
                <w:kern w:val="2"/>
                <w:sz w:val="24"/>
                <w:szCs w:val="22"/>
              </w:rPr>
            </w:pPr>
            <w:r>
              <w:rPr>
                <w:rFonts w:ascii="바탕" w:hAnsi="바탕" w:eastAsia="바탕" w:cs="Times New Roman"/>
                <w:b w:val="0"/>
                <w:bCs w:val="0"/>
                <w:i w:val="0"/>
                <w:color w:val="000000"/>
                <w:kern w:val="2"/>
                <w:sz w:val="24"/>
                <w:szCs w:val="22"/>
              </w:rPr>
              <w:t xml:space="preserve"></w:t>
            </w:r>
          </w:p>
        </w:tc>
        <w:tc>
          <w:tcPr>
            <w:tcW w:w="1549" w:type="dxa"/>
            <w:tcBorders/>
            <w:vAlign w:val="center"/>
          </w:tcPr>
          <w:p>
            <w:pPr>
              <w:widowControl w:val="0"/>
              <w:autoSpaceDE w:val="0"/>
              <w:snapToGrid w:val="0"/>
              <w:spacing w:before="0" w:after="0" w:line="240" w:lineRule="auto"/>
              <w:ind w:left="0" w:right="0" w:firstLine="0"/>
              <w:jc w:val="distribute"/>
              <w:textAlignment w:val="baseline"/>
              <w:rPr>
                <w:rFonts w:ascii="바탕" w:hAnsi="바탕" w:eastAsia="맑은 고딕" w:cs="Times New Roman"/>
                <w:b/>
                <w:bCs w:val="0"/>
                <w:i w:val="0"/>
                <w:color w:val="000000"/>
                <w:kern w:val="2"/>
                <w:sz w:val="24"/>
                <w:szCs w:val="22"/>
              </w:rPr>
            </w:pPr>
            <w:r>
              <w:rPr>
                <w:rFonts w:ascii="바탕" w:hAnsi="바탕" w:eastAsia="맑은 고딕" w:cs="Times New Roman"/>
                <w:b/>
                <w:bCs w:val="0"/>
                <w:i w:val="0"/>
                <w:color w:val="000000"/>
                <w:kern w:val="2"/>
                <w:sz w:val="24"/>
                <w:szCs w:val="22"/>
              </w:rPr>
              <w:t xml:space="preserve">성명</w:t>
            </w:r>
          </w:p>
        </w:tc>
        <w:tc>
          <w:tcPr>
            <w:tcW w:w="259" w:type="dxa"/>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바탕" w:cs="Times New Roman"/>
                <w:b w:val="0"/>
                <w:bCs w:val="0"/>
                <w:i w:val="0"/>
                <w:color w:val="000000"/>
                <w:kern w:val="2"/>
                <w:sz w:val="24"/>
                <w:szCs w:val="22"/>
              </w:rPr>
            </w:pPr>
            <w:r>
              <w:rPr>
                <w:rFonts w:ascii="맑은 고딕" w:hAnsi="맑은 고딕" w:eastAsia="바탕" w:cs="Times New Roman"/>
                <w:b w:val="0"/>
                <w:bCs w:val="0"/>
                <w:i w:val="0"/>
                <w:color w:val="000000"/>
                <w:kern w:val="2"/>
                <w:sz w:val="24"/>
                <w:szCs w:val="22"/>
              </w:rPr>
              <w:t xml:space="preserve">:</w:t>
            </w:r>
          </w:p>
        </w:tc>
        <w:tc>
          <w:tcPr>
            <w:tcW w:w="7285" w:type="dxa"/>
            <w:tcBorders>
              <w:righ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맑은 고딕" w:cs="Times New Roman"/>
                <w:b w:val="0"/>
                <w:bCs w:val="0"/>
                <w:i w:val="0"/>
                <w:color w:val="000000"/>
                <w:kern w:val="2"/>
                <w:sz w:val="24"/>
                <w:szCs w:val="22"/>
              </w:rPr>
            </w:pPr>
            <w:r>
              <w:rPr>
                <w:rFonts w:ascii="맑은 고딕" w:hAnsi="맑은 고딕" w:eastAsia="맑은 고딕" w:cs="Times New Roman"/>
                <w:b w:val="0"/>
                <w:bCs w:val="0"/>
                <w:i w:val="0"/>
                <w:color w:val="000000"/>
                <w:kern w:val="2"/>
                <w:sz w:val="24"/>
                <w:szCs w:val="22"/>
              </w:rPr>
              <w:t xml:space="preserve">임성렬</w:t>
            </w:r>
          </w:p>
        </w:tc>
      </w:tr>
      <w:tr>
        <w:trPr>
          <w:trHeight w:val="266" w:hRule="atLeast"/>
        </w:trPr>
        <w:tc>
          <w:tcPr>
            <w:tcW w:w="427" w:type="dxa"/>
            <w:tcBorders>
              <w:left w:val="single" w:sz="2" w:space="0" w:color="000000"/>
              <w:bottom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바탕" w:hAnsi="바탕" w:eastAsia="바탕" w:cs="Times New Roman"/>
                <w:b w:val="0"/>
                <w:bCs w:val="0"/>
                <w:i w:val="0"/>
                <w:color w:val="000000"/>
                <w:kern w:val="2"/>
                <w:sz w:val="24"/>
                <w:szCs w:val="22"/>
              </w:rPr>
            </w:pPr>
            <w:r>
              <w:rPr>
                <w:rFonts w:ascii="바탕" w:hAnsi="바탕" w:eastAsia="바탕" w:cs="Times New Roman"/>
                <w:b w:val="0"/>
                <w:bCs w:val="0"/>
                <w:i w:val="0"/>
                <w:color w:val="000000"/>
                <w:kern w:val="2"/>
                <w:sz w:val="24"/>
                <w:szCs w:val="22"/>
              </w:rPr>
              <w:t xml:space="preserve"></w:t>
            </w:r>
          </w:p>
        </w:tc>
        <w:tc>
          <w:tcPr>
            <w:tcW w:w="1549" w:type="dxa"/>
            <w:tcBorders>
              <w:bottom w:val="single" w:sz="2" w:space="0" w:color="000000"/>
            </w:tcBorders>
            <w:vAlign w:val="center"/>
          </w:tcPr>
          <w:p>
            <w:pPr>
              <w:widowControl w:val="0"/>
              <w:autoSpaceDE w:val="0"/>
              <w:snapToGrid w:val="0"/>
              <w:spacing w:before="0" w:after="0" w:line="240" w:lineRule="auto"/>
              <w:ind w:left="0" w:right="0" w:firstLine="0"/>
              <w:jc w:val="distribute"/>
              <w:textAlignment w:val="baseline"/>
              <w:rPr>
                <w:rFonts w:ascii="바탕" w:hAnsi="바탕" w:eastAsia="맑은 고딕" w:cs="Times New Roman"/>
                <w:b/>
                <w:bCs w:val="0"/>
                <w:i w:val="0"/>
                <w:color w:val="000000"/>
                <w:kern w:val="2"/>
                <w:sz w:val="24"/>
                <w:szCs w:val="22"/>
              </w:rPr>
            </w:pPr>
            <w:r>
              <w:rPr>
                <w:rFonts w:ascii="바탕" w:hAnsi="바탕" w:eastAsia="맑은 고딕" w:cs="Times New Roman"/>
                <w:b/>
                <w:bCs w:val="0"/>
                <w:i w:val="0"/>
                <w:color w:val="000000"/>
                <w:kern w:val="2"/>
                <w:sz w:val="24"/>
                <w:szCs w:val="22"/>
              </w:rPr>
              <w:t xml:space="preserve">연락처</w:t>
            </w:r>
          </w:p>
        </w:tc>
        <w:tc>
          <w:tcPr>
            <w:tcW w:w="259" w:type="dxa"/>
            <w:tcBorders>
              <w:bottom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바탕" w:cs="Times New Roman"/>
                <w:b w:val="0"/>
                <w:bCs w:val="0"/>
                <w:i w:val="0"/>
                <w:color w:val="000000"/>
                <w:kern w:val="2"/>
                <w:sz w:val="24"/>
                <w:szCs w:val="22"/>
              </w:rPr>
            </w:pPr>
            <w:r>
              <w:rPr>
                <w:rFonts w:ascii="맑은 고딕" w:hAnsi="맑은 고딕" w:eastAsia="바탕" w:cs="Times New Roman"/>
                <w:b w:val="0"/>
                <w:bCs w:val="0"/>
                <w:i w:val="0"/>
                <w:color w:val="000000"/>
                <w:kern w:val="2"/>
                <w:sz w:val="24"/>
                <w:szCs w:val="22"/>
              </w:rPr>
              <w:t xml:space="preserve">:</w:t>
            </w:r>
          </w:p>
        </w:tc>
        <w:tc>
          <w:tcPr>
            <w:tcW w:w="7285" w:type="dxa"/>
            <w:tcBorders>
              <w:bottom w:val="single" w:sz="2" w:space="0" w:color="000000"/>
              <w:righ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맑은 고딕" w:cs="Times New Roman"/>
                <w:b w:val="0"/>
                <w:bCs w:val="0"/>
                <w:i w:val="0"/>
                <w:color w:val="000000"/>
                <w:kern w:val="2"/>
                <w:sz w:val="24"/>
                <w:szCs w:val="22"/>
              </w:rPr>
            </w:pPr>
          </w:p>
        </w:tc>
      </w:tr>
    </w:tbl>
    <w:p>
      <w:pPr>
        <w:widowControl w:val="0"/>
        <w:autoSpaceDE w:val="0"/>
        <w:snapToGrid w:val="0"/>
        <w:spacing w:before="0" w:after="0" w:line="384" w:lineRule="auto"/>
        <w:ind w:left="0" w:right="0" w:firstLine="0"/>
        <w:jc w:val="both"/>
        <w:textAlignment w:val="baseline"/>
        <w:rPr>
          <w:rFonts w:ascii="맑은 고딕" w:hAnsi="맑은 고딕" w:eastAsia="맑은 고딕" w:cs="Times New Roman"/>
          <w:b w:val="0"/>
          <w:bCs w:val="0"/>
          <w:i w:val="0"/>
          <w:color w:val="000000"/>
          <w:spacing w:val="-5"/>
          <w:kern w:val="2"/>
          <w:sz w:val="20"/>
          <w:szCs w:val="20"/>
        </w:rPr>
      </w:pPr>
      <w:r xmlns:a="http://schemas.openxmlformats.org/drawingml/2006/main" xmlns:pic="http://schemas.openxmlformats.org/drawingml/2006/picture">
        <w:drawing>
          <wp:anchor behindDoc="0" distT="0" distB="0" distL="114935" distR="114935" simplePos="0" locked="0" layoutInCell="0" allowOverlap="1" relativeHeight="2">
            <wp:simplePos x="0" y="0"/>
            <wp:positionH relativeFrom="column">
              <wp:posOffset>3810</wp:posOffset>
            </wp:positionH>
            <wp:positionV relativeFrom="line">
              <wp:posOffset>424815</wp:posOffset>
            </wp:positionV>
            <wp:extent cx="6120130" cy="144145"/>
            <wp:effectExtent l="0" t="0" r="0" b="0"/>
            <wp:wrapTopAndBottom/>
            <wp:docPr id="1003" name="그림 1"/>
            <wp:cNvGraphicFramePr>
              <a:graphicFrameLocks noChangeAspect="1"/>
            </wp:cNvGraphicFramePr>
            <a:graphic>
              <a:graphicData uri="http://schemas.openxmlformats.org/drawingml/2006/picture">
                <pic:pic>
                  <pic:nvPicPr>
                    <pic:cNvPr id="1003" name="그림 1"/>
                    <pic:cNvPicPr>
                      <a:picLocks noChangeAspect="1" noChangeArrowheads="1"/>
                    </pic:cNvPicPr>
                  </pic:nvPicPr>
                  <pic:blipFill>
                    <a:blip r:embed="rId11"/>
                    <a:stretch>
                      <a:fillRect/>
                    </a:stretch>
                  </pic:blipFill>
                  <pic:spPr bwMode="auto">
                    <a:xfrm>
                      <a:off x="0" y="0"/>
                      <a:ext cx="6120130" cy="144145"/>
                    </a:xfrm>
                    <a:prstGeom prst="rect">
                      <a:avLst/>
                    </a:prstGeom>
                  </pic:spPr>
                </pic:pic>
              </a:graphicData>
            </a:graphic>
          </wp:anchor>
        </w:drawing>
      </w:r>
      <w:r>
        <w:rPr>
          <w:rFonts w:ascii="맑은 고딕" w:hAnsi="맑은 고딕" w:eastAsia="맑은 고딕" w:cs="맑은 고딕"/>
          <w:b w:val="0"/>
          <w:bCs w:val="0"/>
          <w:i w:val="0"/>
          <w:color w:val="000000"/>
          <w:spacing w:val="-5"/>
          <w:kern w:val="2"/>
          <w:sz w:val="20"/>
          <w:szCs w:val="20"/>
        </w:rPr>
        <w:t xml:space="preserve"> </w:t>
      </w:r>
      <w:r>
        <w:rPr>
          <w:rFonts w:ascii="맑은 고딕" w:hAnsi="맑은 고딕" w:eastAsia="바탕" w:cs="Times New Roman"/>
          <w:b w:val="0"/>
          <w:bCs w:val="0"/>
          <w:i w:val="0"/>
          <w:color w:val="000000"/>
          <w:spacing w:val="-5"/>
          <w:kern w:val="2"/>
          <w:sz w:val="20"/>
          <w:szCs w:val="20"/>
        </w:rPr>
        <w:t xml:space="preserve">※</w:t>
      </w:r>
      <w:r>
        <w:rPr>
          <w:rFonts w:ascii="맑은 고딕" w:hAnsi="맑은 고딕" w:eastAsia="맑은 고딕" w:cs="맑은 고딕"/>
          <w:b w:val="0"/>
          <w:bCs w:val="0"/>
          <w:i w:val="0"/>
          <w:color w:val="000000"/>
          <w:spacing w:val="-5"/>
          <w:kern w:val="2"/>
          <w:sz w:val="20"/>
          <w:szCs w:val="20"/>
        </w:rPr>
        <w:t xml:space="preserve"> </w:t>
      </w:r>
      <w:r>
        <w:rPr>
          <w:rFonts w:ascii="맑은 고딕" w:hAnsi="맑은 고딕" w:eastAsia="맑은 고딕" w:cs="Times New Roman"/>
          <w:b w:val="0"/>
          <w:bCs w:val="0"/>
          <w:i w:val="0"/>
          <w:color w:val="000000"/>
          <w:spacing w:val="-5"/>
          <w:kern w:val="2"/>
          <w:sz w:val="20"/>
          <w:szCs w:val="20"/>
        </w:rPr>
        <w:t xml:space="preserve">A4</w:t>
      </w:r>
      <w:r>
        <w:rPr>
          <w:rFonts w:ascii="맑은 고딕" w:hAnsi="맑은 고딕" w:eastAsia="맑은 고딕" w:cs="Times New Roman"/>
          <w:b w:val="0"/>
          <w:bCs w:val="0"/>
          <w:i w:val="0"/>
          <w:color w:val="000000"/>
          <w:spacing w:val="-5"/>
          <w:kern w:val="2"/>
          <w:sz w:val="20"/>
          <w:szCs w:val="20"/>
        </w:rPr>
        <w:t xml:space="preserve">용지 편집 사용</w:t>
      </w:r>
    </w:p>
    <w:p>
      <w:pPr>
        <w:widowControl w:val="0"/>
        <w:autoSpaceDE w:val="0"/>
        <w:snapToGrid w:val="0"/>
        <w:spacing w:before="0" w:after="0" w:line="240" w:lineRule="auto"/>
        <w:ind w:left="0" w:right="0" w:firstLine="0"/>
        <w:jc w:val="both"/>
        <w:textAlignment w:val="baseline"/>
        <w:rPr>
          <w:rFonts w:ascii="맑은 고딕" w:hAnsi="맑은 고딕" w:eastAsia="맑은 고딕" w:cs="맑은 고딕"/>
          <w:b w:val="0"/>
          <w:bCs w:val="0"/>
          <w:i w:val="0"/>
          <w:strike/>
          <w:color w:val="000000"/>
          <w:spacing w:val="-5"/>
          <w:kern w:val="2"/>
          <w:sz w:val="24"/>
          <w:szCs w:val="24"/>
        </w:rPr>
      </w:pPr>
      <w:r>
        <w:rPr>
          <w:rFonts w:ascii="맑은 고딕" w:hAnsi="맑은 고딕" w:eastAsia="맑은 고딕" w:cs="맑은 고딕"/>
          <w:b w:val="0"/>
          <w:bCs w:val="0"/>
          <w:i w:val="0"/>
          <w:strike/>
          <w:color w:val="000000"/>
          <w:spacing w:val="-5"/>
          <w:kern w:val="2"/>
          <w:sz w:val="24"/>
          <w:szCs w:val="24"/>
        </w:rPr>
        <w:t xml:space="preserve">                                                                                        </w:t>
      </w:r>
    </w:p>
    <w:p>
      <w:pPr>
        <w:widowControl w:val="0"/>
        <w:autoSpaceDE w:val="0"/>
        <w:snapToGrid w:val="0"/>
        <w:spacing w:before="0" w:after="0" w:line="384" w:lineRule="auto"/>
        <w:ind w:left="0" w:right="0" w:firstLine="0"/>
        <w:jc w:val="both"/>
        <w:textAlignment w:val="baseline"/>
        <w:rPr>
          <w:rFonts w:ascii="맑은 고딕" w:hAnsi="맑은 고딕" w:eastAsia="맑은 고딕" w:cs="Times New Roman"/>
          <w:b w:val="0"/>
          <w:bCs w:val="0"/>
          <w:i w:val="0"/>
          <w:color w:val="000000"/>
          <w:spacing w:val="-5"/>
          <w:kern w:val="2"/>
          <w:sz w:val="24"/>
          <w:szCs w:val="24"/>
        </w:rPr>
        <w:sectPr>
          <w:pgSz w:w="11906" w:h="16838"/>
          <w:pgMar w:top="1984" w:right="1134" w:bottom="1700" w:left="1134" w:header="1134" w:footer="850" w:gutter="0"/>
          <w:cols w:space="720"/>
        </w:sectPr>
      </w:pPr>
      <w:r>
        <w:rPr>
          <w:rFonts w:ascii="맑은 고딕" w:hAnsi="맑은 고딕" w:eastAsia="맑은 고딕" w:cs="Times New Roman"/>
          <w:b w:val="0"/>
          <w:bCs w:val="0"/>
          <w:i w:val="0"/>
          <w:color w:val="000000"/>
          <w:spacing w:val="-5"/>
          <w:kern w:val="2"/>
          <w:sz w:val="24"/>
          <w:szCs w:val="24"/>
        </w:rPr>
        <w:t xml:space="preserve">- </w:t>
      </w:r>
      <w:r>
        <w:rPr>
          <w:rFonts w:ascii="맑은 고딕" w:hAnsi="맑은 고딕" w:eastAsia="맑은 고딕" w:cs="Times New Roman"/>
          <w:b w:val="0"/>
          <w:bCs w:val="0"/>
          <w:i w:val="0"/>
          <w:color w:val="000000"/>
          <w:spacing w:val="-5"/>
          <w:kern w:val="2"/>
          <w:sz w:val="24"/>
          <w:szCs w:val="24"/>
        </w:rPr>
        <w:t xml:space="preserve">이하 작성  </w:t>
      </w:r>
    </w:p>
    <w:p>
      <w:pPr>
        <w:spacing w:after="120" w:before="0"/>
        <w:jc w:val="center"/>
      </w:pPr>
      <w:r>
        <w:rPr>
          <w:b/>
          <w:sz w:val="28"/>
        </w:rPr>
        <w:t>대전 지역 토마토의 최근 3년 월간 가격과 기상 변화의 관계</w:t>
      </w:r>
    </w:p>
    <w:p>
      <w:pPr>
        <w:keepNext/>
        <w:spacing w:after="0" w:before="160"/>
        <w:jc w:val="left"/>
      </w:pPr>
      <w:r>
        <w:rPr>
          <w:b/>
          <w:sz w:val="26"/>
        </w:rPr>
        <w:t>1. 조사 개요</w:t>
      </w:r>
    </w:p>
    <w:p>
      <w:pPr>
        <w:spacing w:after="0" w:before="0"/>
        <w:ind w:firstLine="240"/>
        <w:jc w:val="both"/>
      </w:pPr>
      <w:r>
        <w:rPr>
          <w:b w:val="0"/>
        </w:rPr>
        <w:t>토마토를 선택한 이유는 스마트팜 창업을 준비하면서 재배 환경뿐 아니라 판매가격에도 관심을 갖게 되었기 때문입니다. 실제로 생산을 시작한다면 재배 기술만큼이나 출하 시기를 정하는 일도 중요하다고 생각했습니다. 이번 과제에서는 제가 거주하는 대전광역시의 일반 토마토(상품, 1kg) 소매가격을 2023년 10월부터 2026년 9월까지 36개월간 살펴보았습니다. KAMIS 일별 가격을 월평균으로 계산하고 전국 평균과 비교했습니다. 기상은 기상청 대전 관측소(133)의 월자료를 이용했으며, 계산은 Excel로 진행했습니다.</w:t>
      </w:r>
    </w:p>
    <w:p>
      <w:pPr>
        <w:keepNext/>
        <w:spacing w:after="0" w:before="160"/>
        <w:jc w:val="left"/>
      </w:pPr>
      <w:r>
        <w:rPr>
          <w:b/>
          <w:sz w:val="26"/>
        </w:rPr>
        <w:t>2. 대전 토마토의 최근 3년 월간 가격</w:t>
      </w:r>
    </w:p>
    <w:p>
      <w:pPr>
        <w:keepNext/>
        <w:spacing w:after="40" w:before="120" w:line="240" w:lineRule="auto"/>
        <w:jc w:val="center"/>
      </w:pPr>
      <w:r>
        <w:rPr>
          <w:b/>
          <w:sz w:val="20"/>
        </w:rPr>
        <w:t>표 1. 대전 토마토 월평균 소매가격(일반 토마토, 상품, 원/1kg)</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247"/>
          </w:tcPr>
          <w:p>
            <w:pPr>
              <w:spacing w:line="240" w:lineRule="auto"/>
              <w:jc w:val="center"/>
            </w:pPr>
            <w:r/>
            <w:r>
              <w:rPr>
                <w:b/>
                <w:sz w:val="18"/>
              </w:rPr>
              <w:t>월</w:t>
            </w:r>
          </w:p>
        </w:tc>
        <w:tc>
          <w:tcPr>
            <w:tcW w:type="dxa" w:w="2041"/>
          </w:tcPr>
          <w:p>
            <w:pPr>
              <w:spacing w:line="240" w:lineRule="auto"/>
              <w:jc w:val="center"/>
            </w:pPr>
            <w:r/>
            <w:r>
              <w:rPr>
                <w:b/>
                <w:sz w:val="18"/>
              </w:rPr>
              <w:t>2023.10~2024.09</w:t>
            </w:r>
          </w:p>
        </w:tc>
        <w:tc>
          <w:tcPr>
            <w:tcW w:type="dxa" w:w="2041"/>
          </w:tcPr>
          <w:p>
            <w:pPr>
              <w:spacing w:line="240" w:lineRule="auto"/>
              <w:jc w:val="center"/>
            </w:pPr>
            <w:r/>
            <w:r>
              <w:rPr>
                <w:b/>
                <w:sz w:val="18"/>
              </w:rPr>
              <w:t>2024.10~2025.09</w:t>
            </w:r>
          </w:p>
        </w:tc>
        <w:tc>
          <w:tcPr>
            <w:tcW w:type="dxa" w:w="2041"/>
          </w:tcPr>
          <w:p>
            <w:pPr>
              <w:spacing w:line="240" w:lineRule="auto"/>
              <w:jc w:val="center"/>
            </w:pPr>
            <w:r/>
            <w:r>
              <w:rPr>
                <w:b/>
                <w:sz w:val="18"/>
              </w:rPr>
              <w:t>2025.10~2026.09</w:t>
            </w:r>
          </w:p>
        </w:tc>
        <w:tc>
          <w:tcPr>
            <w:tcW w:type="dxa" w:w="1701"/>
          </w:tcPr>
          <w:p>
            <w:pPr>
              <w:spacing w:line="240" w:lineRule="auto"/>
              <w:jc w:val="center"/>
            </w:pPr>
            <w:r/>
            <w:r>
              <w:rPr>
                <w:b/>
                <w:sz w:val="18"/>
              </w:rPr>
              <w:t>3년 평균</w:t>
            </w:r>
          </w:p>
        </w:tc>
      </w:tr>
      <w:tr>
        <w:tc>
          <w:tcPr>
            <w:tcW w:type="dxa" w:w="1247"/>
          </w:tcPr>
          <w:p>
            <w:pPr>
              <w:spacing w:line="240" w:lineRule="auto"/>
              <w:jc w:val="center"/>
            </w:pPr>
            <w:r/>
            <w:r>
              <w:rPr>
                <w:b w:val="0"/>
                <w:sz w:val="18"/>
              </w:rPr>
              <w:t>10월</w:t>
            </w:r>
          </w:p>
        </w:tc>
        <w:tc>
          <w:tcPr>
            <w:tcW w:type="dxa" w:w="2041"/>
          </w:tcPr>
          <w:p>
            <w:pPr>
              <w:spacing w:line="240" w:lineRule="auto"/>
              <w:jc w:val="center"/>
            </w:pPr>
            <w:r/>
            <w:r>
              <w:rPr>
                <w:b w:val="0"/>
                <w:sz w:val="18"/>
              </w:rPr>
              <w:t>11,744</w:t>
            </w:r>
          </w:p>
        </w:tc>
        <w:tc>
          <w:tcPr>
            <w:tcW w:type="dxa" w:w="2041"/>
          </w:tcPr>
          <w:p>
            <w:pPr>
              <w:spacing w:line="240" w:lineRule="auto"/>
              <w:jc w:val="center"/>
            </w:pPr>
            <w:r/>
            <w:r>
              <w:rPr>
                <w:b w:val="0"/>
                <w:sz w:val="18"/>
              </w:rPr>
              <w:t>12,520</w:t>
            </w:r>
          </w:p>
        </w:tc>
        <w:tc>
          <w:tcPr>
            <w:tcW w:type="dxa" w:w="2041"/>
          </w:tcPr>
          <w:p>
            <w:pPr>
              <w:spacing w:line="240" w:lineRule="auto"/>
              <w:jc w:val="center"/>
            </w:pPr>
            <w:r/>
            <w:r>
              <w:rPr>
                <w:b w:val="0"/>
                <w:sz w:val="18"/>
              </w:rPr>
              <w:t>8,542</w:t>
            </w:r>
          </w:p>
        </w:tc>
        <w:tc>
          <w:tcPr>
            <w:tcW w:type="dxa" w:w="1701"/>
          </w:tcPr>
          <w:p>
            <w:pPr>
              <w:spacing w:line="240" w:lineRule="auto"/>
              <w:jc w:val="center"/>
            </w:pPr>
            <w:r/>
            <w:r>
              <w:rPr>
                <w:b w:val="0"/>
                <w:sz w:val="18"/>
              </w:rPr>
              <w:t>10,935</w:t>
            </w:r>
          </w:p>
        </w:tc>
      </w:tr>
      <w:tr>
        <w:tc>
          <w:tcPr>
            <w:tcW w:type="dxa" w:w="1247"/>
          </w:tcPr>
          <w:p>
            <w:pPr>
              <w:spacing w:line="240" w:lineRule="auto"/>
              <w:jc w:val="center"/>
            </w:pPr>
            <w:r/>
            <w:r>
              <w:rPr>
                <w:b w:val="0"/>
                <w:sz w:val="18"/>
              </w:rPr>
              <w:t>11월</w:t>
            </w:r>
          </w:p>
        </w:tc>
        <w:tc>
          <w:tcPr>
            <w:tcW w:type="dxa" w:w="2041"/>
          </w:tcPr>
          <w:p>
            <w:pPr>
              <w:spacing w:line="240" w:lineRule="auto"/>
              <w:jc w:val="center"/>
            </w:pPr>
            <w:r/>
            <w:r>
              <w:rPr>
                <w:b w:val="0"/>
                <w:sz w:val="18"/>
              </w:rPr>
              <w:t>8,766</w:t>
            </w:r>
          </w:p>
        </w:tc>
        <w:tc>
          <w:tcPr>
            <w:tcW w:type="dxa" w:w="2041"/>
          </w:tcPr>
          <w:p>
            <w:pPr>
              <w:spacing w:line="240" w:lineRule="auto"/>
              <w:jc w:val="center"/>
            </w:pPr>
            <w:r/>
            <w:r>
              <w:rPr>
                <w:b w:val="0"/>
                <w:sz w:val="18"/>
              </w:rPr>
              <w:t>10,185</w:t>
            </w:r>
          </w:p>
        </w:tc>
        <w:tc>
          <w:tcPr>
            <w:tcW w:type="dxa" w:w="2041"/>
          </w:tcPr>
          <w:p>
            <w:pPr>
              <w:spacing w:line="240" w:lineRule="auto"/>
              <w:jc w:val="center"/>
            </w:pPr>
            <w:r/>
            <w:r>
              <w:rPr>
                <w:b w:val="0"/>
                <w:sz w:val="18"/>
              </w:rPr>
              <w:t>8,841</w:t>
            </w:r>
          </w:p>
        </w:tc>
        <w:tc>
          <w:tcPr>
            <w:tcW w:type="dxa" w:w="1701"/>
          </w:tcPr>
          <w:p>
            <w:pPr>
              <w:spacing w:line="240" w:lineRule="auto"/>
              <w:jc w:val="center"/>
            </w:pPr>
            <w:r/>
            <w:r>
              <w:rPr>
                <w:b w:val="0"/>
                <w:sz w:val="18"/>
              </w:rPr>
              <w:t>9,264</w:t>
            </w:r>
          </w:p>
        </w:tc>
      </w:tr>
      <w:tr>
        <w:tc>
          <w:tcPr>
            <w:tcW w:type="dxa" w:w="1247"/>
          </w:tcPr>
          <w:p>
            <w:pPr>
              <w:spacing w:line="240" w:lineRule="auto"/>
              <w:jc w:val="center"/>
            </w:pPr>
            <w:r/>
            <w:r>
              <w:rPr>
                <w:b w:val="0"/>
                <w:sz w:val="18"/>
              </w:rPr>
              <w:t>12월</w:t>
            </w:r>
          </w:p>
        </w:tc>
        <w:tc>
          <w:tcPr>
            <w:tcW w:type="dxa" w:w="2041"/>
          </w:tcPr>
          <w:p>
            <w:pPr>
              <w:spacing w:line="240" w:lineRule="auto"/>
              <w:jc w:val="center"/>
            </w:pPr>
            <w:r/>
            <w:r>
              <w:rPr>
                <w:b w:val="0"/>
                <w:sz w:val="18"/>
              </w:rPr>
              <w:t>7,192</w:t>
            </w:r>
          </w:p>
        </w:tc>
        <w:tc>
          <w:tcPr>
            <w:tcW w:type="dxa" w:w="2041"/>
          </w:tcPr>
          <w:p>
            <w:pPr>
              <w:spacing w:line="240" w:lineRule="auto"/>
              <w:jc w:val="center"/>
            </w:pPr>
            <w:r/>
            <w:r>
              <w:rPr>
                <w:b w:val="0"/>
                <w:sz w:val="18"/>
              </w:rPr>
              <w:t>9,701</w:t>
            </w:r>
          </w:p>
        </w:tc>
        <w:tc>
          <w:tcPr>
            <w:tcW w:type="dxa" w:w="2041"/>
          </w:tcPr>
          <w:p>
            <w:pPr>
              <w:spacing w:line="240" w:lineRule="auto"/>
              <w:jc w:val="center"/>
            </w:pPr>
            <w:r/>
            <w:r>
              <w:rPr>
                <w:b w:val="0"/>
                <w:sz w:val="18"/>
              </w:rPr>
              <w:t>6,873</w:t>
            </w:r>
          </w:p>
        </w:tc>
        <w:tc>
          <w:tcPr>
            <w:tcW w:type="dxa" w:w="1701"/>
          </w:tcPr>
          <w:p>
            <w:pPr>
              <w:spacing w:line="240" w:lineRule="auto"/>
              <w:jc w:val="center"/>
            </w:pPr>
            <w:r/>
            <w:r>
              <w:rPr>
                <w:b w:val="0"/>
                <w:sz w:val="18"/>
              </w:rPr>
              <w:t>7,922</w:t>
            </w:r>
          </w:p>
        </w:tc>
      </w:tr>
      <w:tr>
        <w:tc>
          <w:tcPr>
            <w:tcW w:type="dxa" w:w="1247"/>
          </w:tcPr>
          <w:p>
            <w:pPr>
              <w:spacing w:line="240" w:lineRule="auto"/>
              <w:jc w:val="center"/>
            </w:pPr>
            <w:r/>
            <w:r>
              <w:rPr>
                <w:b w:val="0"/>
                <w:sz w:val="18"/>
              </w:rPr>
              <w:t>1월</w:t>
            </w:r>
          </w:p>
        </w:tc>
        <w:tc>
          <w:tcPr>
            <w:tcW w:type="dxa" w:w="2041"/>
          </w:tcPr>
          <w:p>
            <w:pPr>
              <w:spacing w:line="240" w:lineRule="auto"/>
              <w:jc w:val="center"/>
            </w:pPr>
            <w:r/>
            <w:r>
              <w:rPr>
                <w:b w:val="0"/>
                <w:sz w:val="18"/>
              </w:rPr>
              <w:t>7,742</w:t>
            </w:r>
          </w:p>
        </w:tc>
        <w:tc>
          <w:tcPr>
            <w:tcW w:type="dxa" w:w="2041"/>
          </w:tcPr>
          <w:p>
            <w:pPr>
              <w:spacing w:line="240" w:lineRule="auto"/>
              <w:jc w:val="center"/>
            </w:pPr>
            <w:r/>
            <w:r>
              <w:rPr>
                <w:b w:val="0"/>
                <w:sz w:val="18"/>
              </w:rPr>
              <w:t>6,723</w:t>
            </w:r>
          </w:p>
        </w:tc>
        <w:tc>
          <w:tcPr>
            <w:tcW w:type="dxa" w:w="2041"/>
          </w:tcPr>
          <w:p>
            <w:pPr>
              <w:spacing w:line="240" w:lineRule="auto"/>
              <w:jc w:val="center"/>
            </w:pPr>
            <w:r/>
            <w:r>
              <w:rPr>
                <w:b w:val="0"/>
                <w:sz w:val="18"/>
              </w:rPr>
              <w:t>6,908</w:t>
            </w:r>
          </w:p>
        </w:tc>
        <w:tc>
          <w:tcPr>
            <w:tcW w:type="dxa" w:w="1701"/>
          </w:tcPr>
          <w:p>
            <w:pPr>
              <w:spacing w:line="240" w:lineRule="auto"/>
              <w:jc w:val="center"/>
            </w:pPr>
            <w:r/>
            <w:r>
              <w:rPr>
                <w:b w:val="0"/>
                <w:sz w:val="18"/>
              </w:rPr>
              <w:t>7,124</w:t>
            </w:r>
          </w:p>
        </w:tc>
      </w:tr>
      <w:tr>
        <w:tc>
          <w:tcPr>
            <w:tcW w:type="dxa" w:w="1247"/>
          </w:tcPr>
          <w:p>
            <w:pPr>
              <w:spacing w:line="240" w:lineRule="auto"/>
              <w:jc w:val="center"/>
            </w:pPr>
            <w:r/>
            <w:r>
              <w:rPr>
                <w:b w:val="0"/>
                <w:sz w:val="18"/>
              </w:rPr>
              <w:t>2월</w:t>
            </w:r>
          </w:p>
        </w:tc>
        <w:tc>
          <w:tcPr>
            <w:tcW w:type="dxa" w:w="2041"/>
          </w:tcPr>
          <w:p>
            <w:pPr>
              <w:spacing w:line="240" w:lineRule="auto"/>
              <w:jc w:val="center"/>
            </w:pPr>
            <w:r/>
            <w:r>
              <w:rPr>
                <w:b w:val="0"/>
                <w:sz w:val="18"/>
              </w:rPr>
              <w:t>10,145</w:t>
            </w:r>
          </w:p>
        </w:tc>
        <w:tc>
          <w:tcPr>
            <w:tcW w:type="dxa" w:w="2041"/>
          </w:tcPr>
          <w:p>
            <w:pPr>
              <w:spacing w:line="240" w:lineRule="auto"/>
              <w:jc w:val="center"/>
            </w:pPr>
            <w:r/>
            <w:r>
              <w:rPr>
                <w:b w:val="0"/>
                <w:sz w:val="18"/>
              </w:rPr>
              <w:t>6,974</w:t>
            </w:r>
          </w:p>
        </w:tc>
        <w:tc>
          <w:tcPr>
            <w:tcW w:type="dxa" w:w="2041"/>
          </w:tcPr>
          <w:p>
            <w:pPr>
              <w:spacing w:line="240" w:lineRule="auto"/>
              <w:jc w:val="center"/>
            </w:pPr>
            <w:r/>
            <w:r>
              <w:rPr>
                <w:b w:val="0"/>
                <w:sz w:val="18"/>
              </w:rPr>
              <w:t>6,123</w:t>
            </w:r>
          </w:p>
        </w:tc>
        <w:tc>
          <w:tcPr>
            <w:tcW w:type="dxa" w:w="1701"/>
          </w:tcPr>
          <w:p>
            <w:pPr>
              <w:spacing w:line="240" w:lineRule="auto"/>
              <w:jc w:val="center"/>
            </w:pPr>
            <w:r/>
            <w:r>
              <w:rPr>
                <w:b w:val="0"/>
                <w:sz w:val="18"/>
              </w:rPr>
              <w:t>7,748</w:t>
            </w:r>
          </w:p>
        </w:tc>
      </w:tr>
      <w:tr>
        <w:tc>
          <w:tcPr>
            <w:tcW w:type="dxa" w:w="1247"/>
          </w:tcPr>
          <w:p>
            <w:pPr>
              <w:spacing w:line="240" w:lineRule="auto"/>
              <w:jc w:val="center"/>
            </w:pPr>
            <w:r/>
            <w:r>
              <w:rPr>
                <w:b w:val="0"/>
                <w:sz w:val="18"/>
              </w:rPr>
              <w:t>3월</w:t>
            </w:r>
          </w:p>
        </w:tc>
        <w:tc>
          <w:tcPr>
            <w:tcW w:type="dxa" w:w="2041"/>
          </w:tcPr>
          <w:p>
            <w:pPr>
              <w:spacing w:line="240" w:lineRule="auto"/>
              <w:jc w:val="center"/>
            </w:pPr>
            <w:r/>
            <w:r>
              <w:rPr>
                <w:b w:val="0"/>
                <w:sz w:val="18"/>
              </w:rPr>
              <w:t>8,935</w:t>
            </w:r>
          </w:p>
        </w:tc>
        <w:tc>
          <w:tcPr>
            <w:tcW w:type="dxa" w:w="2041"/>
          </w:tcPr>
          <w:p>
            <w:pPr>
              <w:spacing w:line="240" w:lineRule="auto"/>
              <w:jc w:val="center"/>
            </w:pPr>
            <w:r/>
            <w:r>
              <w:rPr>
                <w:b w:val="0"/>
                <w:sz w:val="18"/>
              </w:rPr>
              <w:t>7,126</w:t>
            </w:r>
          </w:p>
        </w:tc>
        <w:tc>
          <w:tcPr>
            <w:tcW w:type="dxa" w:w="2041"/>
          </w:tcPr>
          <w:p>
            <w:pPr>
              <w:spacing w:line="240" w:lineRule="auto"/>
              <w:jc w:val="center"/>
            </w:pPr>
            <w:r/>
            <w:r>
              <w:rPr>
                <w:b w:val="0"/>
                <w:sz w:val="18"/>
              </w:rPr>
              <w:t>5,859</w:t>
            </w:r>
          </w:p>
        </w:tc>
        <w:tc>
          <w:tcPr>
            <w:tcW w:type="dxa" w:w="1701"/>
          </w:tcPr>
          <w:p>
            <w:pPr>
              <w:spacing w:line="240" w:lineRule="auto"/>
              <w:jc w:val="center"/>
            </w:pPr>
            <w:r/>
            <w:r>
              <w:rPr>
                <w:b w:val="0"/>
                <w:sz w:val="18"/>
              </w:rPr>
              <w:t>7,307</w:t>
            </w:r>
          </w:p>
        </w:tc>
      </w:tr>
      <w:tr>
        <w:tc>
          <w:tcPr>
            <w:tcW w:type="dxa" w:w="1247"/>
          </w:tcPr>
          <w:p>
            <w:pPr>
              <w:spacing w:line="240" w:lineRule="auto"/>
              <w:jc w:val="center"/>
            </w:pPr>
            <w:r/>
            <w:r>
              <w:rPr>
                <w:b w:val="0"/>
                <w:sz w:val="18"/>
              </w:rPr>
              <w:t>4월</w:t>
            </w:r>
          </w:p>
        </w:tc>
        <w:tc>
          <w:tcPr>
            <w:tcW w:type="dxa" w:w="2041"/>
          </w:tcPr>
          <w:p>
            <w:pPr>
              <w:spacing w:line="240" w:lineRule="auto"/>
              <w:jc w:val="center"/>
            </w:pPr>
            <w:r/>
            <w:r>
              <w:rPr>
                <w:b w:val="0"/>
                <w:sz w:val="18"/>
              </w:rPr>
              <w:t>7,464</w:t>
            </w:r>
          </w:p>
        </w:tc>
        <w:tc>
          <w:tcPr>
            <w:tcW w:type="dxa" w:w="2041"/>
          </w:tcPr>
          <w:p>
            <w:pPr>
              <w:spacing w:line="240" w:lineRule="auto"/>
              <w:jc w:val="center"/>
            </w:pPr>
            <w:r/>
            <w:r>
              <w:rPr>
                <w:b w:val="0"/>
                <w:sz w:val="18"/>
              </w:rPr>
              <w:t>6,045</w:t>
            </w:r>
          </w:p>
        </w:tc>
        <w:tc>
          <w:tcPr>
            <w:tcW w:type="dxa" w:w="2041"/>
          </w:tcPr>
          <w:p>
            <w:pPr>
              <w:spacing w:line="240" w:lineRule="auto"/>
              <w:jc w:val="center"/>
            </w:pPr>
            <w:r/>
            <w:r>
              <w:rPr>
                <w:b w:val="0"/>
                <w:sz w:val="18"/>
              </w:rPr>
              <w:t>5,400</w:t>
            </w:r>
          </w:p>
        </w:tc>
        <w:tc>
          <w:tcPr>
            <w:tcW w:type="dxa" w:w="1701"/>
          </w:tcPr>
          <w:p>
            <w:pPr>
              <w:spacing w:line="240" w:lineRule="auto"/>
              <w:jc w:val="center"/>
            </w:pPr>
            <w:r/>
            <w:r>
              <w:rPr>
                <w:b w:val="0"/>
                <w:sz w:val="18"/>
              </w:rPr>
              <w:t>6,303</w:t>
            </w:r>
          </w:p>
        </w:tc>
      </w:tr>
      <w:tr>
        <w:tc>
          <w:tcPr>
            <w:tcW w:type="dxa" w:w="1247"/>
          </w:tcPr>
          <w:p>
            <w:pPr>
              <w:spacing w:line="240" w:lineRule="auto"/>
              <w:jc w:val="center"/>
            </w:pPr>
            <w:r/>
            <w:r>
              <w:rPr>
                <w:b w:val="0"/>
                <w:sz w:val="18"/>
              </w:rPr>
              <w:t>5월</w:t>
            </w:r>
          </w:p>
        </w:tc>
        <w:tc>
          <w:tcPr>
            <w:tcW w:type="dxa" w:w="2041"/>
          </w:tcPr>
          <w:p>
            <w:pPr>
              <w:spacing w:line="240" w:lineRule="auto"/>
              <w:jc w:val="center"/>
            </w:pPr>
            <w:r/>
            <w:r>
              <w:rPr>
                <w:b w:val="0"/>
                <w:sz w:val="18"/>
              </w:rPr>
              <w:t>5,905</w:t>
            </w:r>
          </w:p>
        </w:tc>
        <w:tc>
          <w:tcPr>
            <w:tcW w:type="dxa" w:w="2041"/>
          </w:tcPr>
          <w:p>
            <w:pPr>
              <w:spacing w:line="240" w:lineRule="auto"/>
              <w:jc w:val="center"/>
            </w:pPr>
            <w:r/>
            <w:r>
              <w:rPr>
                <w:b w:val="0"/>
                <w:sz w:val="18"/>
              </w:rPr>
              <w:t>4,656</w:t>
            </w:r>
          </w:p>
        </w:tc>
        <w:tc>
          <w:tcPr>
            <w:tcW w:type="dxa" w:w="2041"/>
          </w:tcPr>
          <w:p>
            <w:pPr>
              <w:spacing w:line="240" w:lineRule="auto"/>
              <w:jc w:val="center"/>
            </w:pPr>
            <w:r/>
            <w:r>
              <w:rPr>
                <w:b w:val="0"/>
                <w:sz w:val="18"/>
              </w:rPr>
              <w:t>5,437</w:t>
            </w:r>
          </w:p>
        </w:tc>
        <w:tc>
          <w:tcPr>
            <w:tcW w:type="dxa" w:w="1701"/>
          </w:tcPr>
          <w:p>
            <w:pPr>
              <w:spacing w:line="240" w:lineRule="auto"/>
              <w:jc w:val="center"/>
            </w:pPr>
            <w:r/>
            <w:r>
              <w:rPr>
                <w:b w:val="0"/>
                <w:sz w:val="18"/>
              </w:rPr>
              <w:t>5,333</w:t>
            </w:r>
          </w:p>
        </w:tc>
      </w:tr>
      <w:tr>
        <w:tc>
          <w:tcPr>
            <w:tcW w:type="dxa" w:w="1247"/>
          </w:tcPr>
          <w:p>
            <w:pPr>
              <w:spacing w:line="240" w:lineRule="auto"/>
              <w:jc w:val="center"/>
            </w:pPr>
            <w:r/>
            <w:r>
              <w:rPr>
                <w:b w:val="0"/>
                <w:sz w:val="18"/>
              </w:rPr>
              <w:t>6월</w:t>
            </w:r>
          </w:p>
        </w:tc>
        <w:tc>
          <w:tcPr>
            <w:tcW w:type="dxa" w:w="2041"/>
          </w:tcPr>
          <w:p>
            <w:pPr>
              <w:spacing w:line="240" w:lineRule="auto"/>
              <w:jc w:val="center"/>
            </w:pPr>
            <w:r/>
            <w:r>
              <w:rPr>
                <w:b w:val="0"/>
                <w:sz w:val="18"/>
              </w:rPr>
              <w:t>4,645</w:t>
            </w:r>
          </w:p>
        </w:tc>
        <w:tc>
          <w:tcPr>
            <w:tcW w:type="dxa" w:w="2041"/>
          </w:tcPr>
          <w:p>
            <w:pPr>
              <w:spacing w:line="240" w:lineRule="auto"/>
              <w:jc w:val="center"/>
            </w:pPr>
            <w:r/>
            <w:r>
              <w:rPr>
                <w:b w:val="0"/>
                <w:sz w:val="18"/>
              </w:rPr>
              <w:t>4,487</w:t>
            </w:r>
          </w:p>
        </w:tc>
        <w:tc>
          <w:tcPr>
            <w:tcW w:type="dxa" w:w="2041"/>
          </w:tcPr>
          <w:p>
            <w:pPr>
              <w:spacing w:line="240" w:lineRule="auto"/>
              <w:jc w:val="center"/>
            </w:pPr>
            <w:r/>
            <w:r>
              <w:rPr>
                <w:b w:val="0"/>
                <w:sz w:val="18"/>
              </w:rPr>
              <w:t>4,207</w:t>
            </w:r>
          </w:p>
        </w:tc>
        <w:tc>
          <w:tcPr>
            <w:tcW w:type="dxa" w:w="1701"/>
          </w:tcPr>
          <w:p>
            <w:pPr>
              <w:spacing w:line="240" w:lineRule="auto"/>
              <w:jc w:val="center"/>
            </w:pPr>
            <w:r/>
            <w:r>
              <w:rPr>
                <w:b w:val="0"/>
                <w:sz w:val="18"/>
              </w:rPr>
              <w:t>4,446</w:t>
            </w:r>
          </w:p>
        </w:tc>
      </w:tr>
      <w:tr>
        <w:tc>
          <w:tcPr>
            <w:tcW w:type="dxa" w:w="1247"/>
          </w:tcPr>
          <w:p>
            <w:pPr>
              <w:spacing w:line="240" w:lineRule="auto"/>
              <w:jc w:val="center"/>
            </w:pPr>
            <w:r/>
            <w:r>
              <w:rPr>
                <w:b w:val="0"/>
                <w:sz w:val="18"/>
              </w:rPr>
              <w:t>7월</w:t>
            </w:r>
          </w:p>
        </w:tc>
        <w:tc>
          <w:tcPr>
            <w:tcW w:type="dxa" w:w="2041"/>
          </w:tcPr>
          <w:p>
            <w:pPr>
              <w:spacing w:line="240" w:lineRule="auto"/>
              <w:jc w:val="center"/>
            </w:pPr>
            <w:r/>
            <w:r>
              <w:rPr>
                <w:b w:val="0"/>
                <w:sz w:val="18"/>
              </w:rPr>
              <w:t>4,752</w:t>
            </w:r>
          </w:p>
        </w:tc>
        <w:tc>
          <w:tcPr>
            <w:tcW w:type="dxa" w:w="2041"/>
          </w:tcPr>
          <w:p>
            <w:pPr>
              <w:spacing w:line="240" w:lineRule="auto"/>
              <w:jc w:val="center"/>
            </w:pPr>
            <w:r/>
            <w:r>
              <w:rPr>
                <w:b w:val="0"/>
                <w:sz w:val="18"/>
              </w:rPr>
              <w:t>5,421</w:t>
            </w:r>
          </w:p>
        </w:tc>
        <w:tc>
          <w:tcPr>
            <w:tcW w:type="dxa" w:w="2041"/>
          </w:tcPr>
          <w:p>
            <w:pPr>
              <w:spacing w:line="240" w:lineRule="auto"/>
              <w:jc w:val="center"/>
            </w:pPr>
            <w:r/>
            <w:r>
              <w:rPr>
                <w:b w:val="0"/>
                <w:sz w:val="18"/>
              </w:rPr>
              <w:t>4,686</w:t>
            </w:r>
          </w:p>
        </w:tc>
        <w:tc>
          <w:tcPr>
            <w:tcW w:type="dxa" w:w="1701"/>
          </w:tcPr>
          <w:p>
            <w:pPr>
              <w:spacing w:line="240" w:lineRule="auto"/>
              <w:jc w:val="center"/>
            </w:pPr>
            <w:r/>
            <w:r>
              <w:rPr>
                <w:b w:val="0"/>
                <w:sz w:val="18"/>
              </w:rPr>
              <w:t>4,953</w:t>
            </w:r>
          </w:p>
        </w:tc>
      </w:tr>
      <w:tr>
        <w:tc>
          <w:tcPr>
            <w:tcW w:type="dxa" w:w="1247"/>
          </w:tcPr>
          <w:p>
            <w:pPr>
              <w:spacing w:line="240" w:lineRule="auto"/>
              <w:jc w:val="center"/>
            </w:pPr>
            <w:r/>
            <w:r>
              <w:rPr>
                <w:b w:val="0"/>
                <w:sz w:val="18"/>
              </w:rPr>
              <w:t>8월</w:t>
            </w:r>
          </w:p>
        </w:tc>
        <w:tc>
          <w:tcPr>
            <w:tcW w:type="dxa" w:w="2041"/>
          </w:tcPr>
          <w:p>
            <w:pPr>
              <w:spacing w:line="240" w:lineRule="auto"/>
              <w:jc w:val="center"/>
            </w:pPr>
            <w:r/>
            <w:r>
              <w:rPr>
                <w:b w:val="0"/>
                <w:sz w:val="18"/>
              </w:rPr>
              <w:t>5,564</w:t>
            </w:r>
          </w:p>
        </w:tc>
        <w:tc>
          <w:tcPr>
            <w:tcW w:type="dxa" w:w="2041"/>
          </w:tcPr>
          <w:p>
            <w:pPr>
              <w:spacing w:line="240" w:lineRule="auto"/>
              <w:jc w:val="center"/>
            </w:pPr>
            <w:r/>
            <w:r>
              <w:rPr>
                <w:b w:val="0"/>
                <w:sz w:val="18"/>
              </w:rPr>
              <w:t>7,596</w:t>
            </w:r>
          </w:p>
        </w:tc>
        <w:tc>
          <w:tcPr>
            <w:tcW w:type="dxa" w:w="2041"/>
          </w:tcPr>
          <w:p>
            <w:pPr>
              <w:spacing w:line="240" w:lineRule="auto"/>
              <w:jc w:val="center"/>
            </w:pPr>
            <w:r/>
            <w:r>
              <w:rPr>
                <w:b w:val="0"/>
                <w:sz w:val="18"/>
              </w:rPr>
              <w:t>5,782</w:t>
            </w:r>
          </w:p>
        </w:tc>
        <w:tc>
          <w:tcPr>
            <w:tcW w:type="dxa" w:w="1701"/>
          </w:tcPr>
          <w:p>
            <w:pPr>
              <w:spacing w:line="240" w:lineRule="auto"/>
              <w:jc w:val="center"/>
            </w:pPr>
            <w:r/>
            <w:r>
              <w:rPr>
                <w:b w:val="0"/>
                <w:sz w:val="18"/>
              </w:rPr>
              <w:t>6,314</w:t>
            </w:r>
          </w:p>
        </w:tc>
      </w:tr>
      <w:tr>
        <w:tc>
          <w:tcPr>
            <w:tcW w:type="dxa" w:w="1247"/>
          </w:tcPr>
          <w:p>
            <w:pPr>
              <w:spacing w:line="240" w:lineRule="auto"/>
              <w:jc w:val="center"/>
            </w:pPr>
            <w:r/>
            <w:r>
              <w:rPr>
                <w:b w:val="0"/>
                <w:sz w:val="18"/>
              </w:rPr>
              <w:t>9월</w:t>
            </w:r>
          </w:p>
        </w:tc>
        <w:tc>
          <w:tcPr>
            <w:tcW w:type="dxa" w:w="2041"/>
          </w:tcPr>
          <w:p>
            <w:pPr>
              <w:spacing w:line="240" w:lineRule="auto"/>
              <w:jc w:val="center"/>
            </w:pPr>
            <w:r/>
            <w:r>
              <w:rPr>
                <w:b w:val="0"/>
                <w:sz w:val="18"/>
              </w:rPr>
              <w:t>8,642</w:t>
            </w:r>
          </w:p>
        </w:tc>
        <w:tc>
          <w:tcPr>
            <w:tcW w:type="dxa" w:w="2041"/>
          </w:tcPr>
          <w:p>
            <w:pPr>
              <w:spacing w:line="240" w:lineRule="auto"/>
              <w:jc w:val="center"/>
            </w:pPr>
            <w:r/>
            <w:r>
              <w:rPr>
                <w:b w:val="0"/>
                <w:sz w:val="18"/>
              </w:rPr>
              <w:t>8,843</w:t>
            </w:r>
          </w:p>
        </w:tc>
        <w:tc>
          <w:tcPr>
            <w:tcW w:type="dxa" w:w="2041"/>
          </w:tcPr>
          <w:p>
            <w:pPr>
              <w:spacing w:line="240" w:lineRule="auto"/>
              <w:jc w:val="center"/>
            </w:pPr>
            <w:r/>
            <w:r>
              <w:rPr>
                <w:b w:val="0"/>
                <w:sz w:val="18"/>
              </w:rPr>
              <w:t>7,968</w:t>
            </w:r>
          </w:p>
        </w:tc>
        <w:tc>
          <w:tcPr>
            <w:tcW w:type="dxa" w:w="1701"/>
          </w:tcPr>
          <w:p>
            <w:pPr>
              <w:spacing w:line="240" w:lineRule="auto"/>
              <w:jc w:val="center"/>
            </w:pPr>
            <w:r/>
            <w:r>
              <w:rPr>
                <w:b w:val="0"/>
                <w:sz w:val="18"/>
              </w:rPr>
              <w:t>8,484</w:t>
            </w:r>
          </w:p>
        </w:tc>
      </w:tr>
      <w:tr>
        <w:tc>
          <w:tcPr>
            <w:tcW w:type="dxa" w:w="1247"/>
          </w:tcPr>
          <w:p>
            <w:pPr>
              <w:spacing w:line="240" w:lineRule="auto"/>
              <w:jc w:val="center"/>
            </w:pPr>
            <w:r/>
            <w:r>
              <w:rPr>
                <w:b w:val="0"/>
                <w:sz w:val="18"/>
              </w:rPr>
              <w:t>평균</w:t>
            </w:r>
          </w:p>
        </w:tc>
        <w:tc>
          <w:tcPr>
            <w:tcW w:type="dxa" w:w="2041"/>
          </w:tcPr>
          <w:p>
            <w:pPr>
              <w:spacing w:line="240" w:lineRule="auto"/>
              <w:jc w:val="center"/>
            </w:pPr>
            <w:r/>
            <w:r>
              <w:rPr>
                <w:b w:val="0"/>
                <w:sz w:val="18"/>
              </w:rPr>
              <w:t>7,625</w:t>
            </w:r>
          </w:p>
        </w:tc>
        <w:tc>
          <w:tcPr>
            <w:tcW w:type="dxa" w:w="2041"/>
          </w:tcPr>
          <w:p>
            <w:pPr>
              <w:spacing w:line="240" w:lineRule="auto"/>
              <w:jc w:val="center"/>
            </w:pPr>
            <w:r/>
            <w:r>
              <w:rPr>
                <w:b w:val="0"/>
                <w:sz w:val="18"/>
              </w:rPr>
              <w:t>7,523</w:t>
            </w:r>
          </w:p>
        </w:tc>
        <w:tc>
          <w:tcPr>
            <w:tcW w:type="dxa" w:w="2041"/>
          </w:tcPr>
          <w:p>
            <w:pPr>
              <w:spacing w:line="240" w:lineRule="auto"/>
              <w:jc w:val="center"/>
            </w:pPr>
            <w:r/>
            <w:r>
              <w:rPr>
                <w:b w:val="0"/>
                <w:sz w:val="18"/>
              </w:rPr>
              <w:t>6,385</w:t>
            </w:r>
          </w:p>
        </w:tc>
        <w:tc>
          <w:tcPr>
            <w:tcW w:type="dxa" w:w="1701"/>
          </w:tcPr>
          <w:p>
            <w:pPr>
              <w:spacing w:line="240" w:lineRule="auto"/>
              <w:jc w:val="center"/>
            </w:pPr>
            <w:r/>
            <w:r>
              <w:rPr>
                <w:b w:val="0"/>
                <w:sz w:val="18"/>
              </w:rPr>
              <w:t>7,178</w:t>
            </w:r>
          </w:p>
        </w:tc>
      </w:tr>
    </w:tbl>
    <w:p>
      <w:pPr>
        <w:spacing w:after="80" w:before="40" w:line="240" w:lineRule="auto"/>
        <w:jc w:val="left"/>
      </w:pPr>
      <w:r>
        <w:rPr>
          <w:b w:val="0"/>
          <w:sz w:val="18"/>
        </w:rPr>
        <w:t>※ 자료: KAMIS 소매가격 일별 자료(대전)를 월별로 평균. 2025년 9월은 9월 2~10일 자료가 없어 15일 평균임.</w:t>
      </w:r>
    </w:p>
    <w:p>
      <w:pPr>
        <w:spacing w:line="240" w:lineRule="auto"/>
        <w:jc w:val="center"/>
      </w:pPr>
      <w:r>
        <w:drawing xmlns:a="http://schemas.openxmlformats.org/drawingml/2006/main" xmlns:c="http://schemas.openxmlformats.org/drawingml/2006/chart">
          <wp:inline distT="0" distB="0" distL="0" distR="0">
            <wp:extent cx="6120000" cy="1656000"/>
            <wp:effectExtent l="0" t="0" r="0" b="0"/>
            <wp:docPr id="1001" name="Chart 1"/>
            <wp:cNvGraphicFramePr/>
            <a:graphic>
              <a:graphicData uri="http://schemas.openxmlformats.org/drawingml/2006/chart">
                <c:chart r:id="rId9"/>
              </a:graphicData>
            </a:graphic>
          </wp:inline>
        </w:drawing>
      </w:r>
    </w:p>
    <w:p>
      <w:pPr>
        <w:spacing w:after="0" w:before="80"/>
        <w:ind w:firstLine="240"/>
        <w:jc w:val="both"/>
      </w:pPr>
      <w:r>
        <w:rPr>
          <w:b w:val="0"/>
        </w:rPr>
        <w:t>표 1과 그래프 1을 보면 가격이 낮아지는 시기와 높아지는 시기가 비교적 뚜렷합니다. 3년 평균으로 6월은 4,446원, 10월은 10,935원으로 차이가 약 2.5배였습니다. 여름에 낮아진 가격이 가을에 다시 오르는 흐름이 해마다 반복되었다고 볼 수 있습니다. 다만 같은 10월이라도 2024년에는 12,520원, 2025년에는 8,542원으로 차이가 컸습니다. 가을에 출하하더라도 항상 높은 가격을 기대하기는 어렵다는 점을 보여 줍니다. 기간별 평균도 7,625원, 7,523원, 6,385원으로 마지막 1년이 가장 낮았습니다. 가격이 높은 달을 고르는 일뿐 아니라 해마다 달라지는 시장 상황을 살펴야 하는 이유입니다.</w:t>
      </w:r>
    </w:p>
    <w:p>
      <w:pPr>
        <w:spacing w:after="0" w:before="0"/>
        <w:ind w:firstLine="240"/>
        <w:jc w:val="both"/>
      </w:pPr>
      <w:r>
        <w:rPr>
          <w:b w:val="0"/>
        </w:rPr>
        <w:t>대전 가격은 전국 자료와 함께 비교할 수 있는 27개월 동안 모두 전국 평균보다 높았으며, 평균 차이는 12.6%였습니다. 다만 두 가격의 상관계수는 0.985로, 변동 방향은 거의 일치했습니다. 대전에서 가격이 높게 형성되었다고 해서 대전만의 독립적인 시장이 있다는 뜻은 아닙니다. 오히려 실제 판매 시기를 판단할 때 지역 가격과 함께 전국적인 가격 흐름을 확인할 필요가 있음을 보여줍니다. 또한 소매가격이 곧 농가의 판매가격이나 수익을 의미하지는 않는다는 점도 구분할 필요가 있습니다.</w:t>
      </w:r>
    </w:p>
    <w:p>
      <w:pPr>
        <w:keepNext/>
        <w:spacing w:after="0" w:before="160"/>
        <w:jc w:val="left"/>
      </w:pPr>
      <w:r>
        <w:rPr>
          <w:b/>
          <w:sz w:val="26"/>
        </w:rPr>
        <w:t>3. 월별 기상과 가격 변동의 관계</w:t>
      </w:r>
    </w:p>
    <w:p>
      <w:pPr>
        <w:keepNext/>
        <w:spacing w:after="40" w:before="80"/>
        <w:jc w:val="left"/>
      </w:pPr>
      <w:r>
        <w:rPr>
          <w:b/>
          <w:sz w:val="24"/>
        </w:rPr>
        <w:t>1) 분석 방법</w:t>
      </w:r>
    </w:p>
    <w:p>
      <w:pPr>
        <w:spacing w:after="0" w:before="0"/>
        <w:ind w:firstLine="240"/>
        <w:jc w:val="both"/>
      </w:pPr>
      <w:r>
        <w:rPr>
          <w:b w:val="0"/>
        </w:rPr>
        <w:t>월평균 소매가격과 대전의 기온, 강수량, 일조시간, 습도 사이의 상관계수(피어슨 r)를 계산했습니다. 날씨가 달라진 즉시 가격이 바뀌는 것은 아닐 수 있습니다. 생육에 영향을 받은 뒤 출하량에 변화가 나타나기까지 시간이 걸리기 때문에 같은 달뿐 아니라 1개월 전, 2개월 전 기상도 비교했습니다. 상관계수는 함께 움직인 정도를 나타낼 뿐, 특정 날씨가 가격을 올렸다고 증명하지는 않습니다.</w:t>
      </w:r>
    </w:p>
    <w:p>
      <w:pPr>
        <w:keepNext/>
        <w:spacing w:after="40" w:before="120" w:line="240" w:lineRule="auto"/>
        <w:jc w:val="center"/>
      </w:pPr>
      <w:r>
        <w:rPr>
          <w:b/>
          <w:sz w:val="20"/>
        </w:rPr>
        <w:t>표 2. 대전 토마토 월평균 소매가격과 대전 기상의 상관계수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tcPr>
          <w:p>
            <w:pPr>
              <w:spacing w:line="240" w:lineRule="auto"/>
              <w:jc w:val="center"/>
            </w:pPr>
            <w:r/>
            <w:r>
              <w:rPr>
                <w:b/>
                <w:sz w:val="19"/>
              </w:rPr>
              <w:t>기상 요소</w:t>
            </w:r>
          </w:p>
        </w:tc>
        <w:tc>
          <w:tcPr>
            <w:tcW w:type="dxa" w:w="1701"/>
          </w:tcPr>
          <w:p>
            <w:pPr>
              <w:spacing w:line="240" w:lineRule="auto"/>
              <w:jc w:val="center"/>
            </w:pPr>
            <w:r/>
            <w:r>
              <w:rPr>
                <w:b/>
                <w:sz w:val="19"/>
              </w:rPr>
              <w:t>같은 달</w:t>
            </w:r>
          </w:p>
        </w:tc>
        <w:tc>
          <w:tcPr>
            <w:tcW w:type="dxa" w:w="1701"/>
          </w:tcPr>
          <w:p>
            <w:pPr>
              <w:spacing w:line="240" w:lineRule="auto"/>
              <w:jc w:val="center"/>
            </w:pPr>
            <w:r/>
            <w:r>
              <w:rPr>
                <w:b/>
                <w:sz w:val="19"/>
              </w:rPr>
              <w:t>1개월 전 기상</w:t>
            </w:r>
          </w:p>
        </w:tc>
        <w:tc>
          <w:tcPr>
            <w:tcW w:type="dxa" w:w="1701"/>
          </w:tcPr>
          <w:p>
            <w:pPr>
              <w:spacing w:line="240" w:lineRule="auto"/>
              <w:jc w:val="center"/>
            </w:pPr>
            <w:r/>
            <w:r>
              <w:rPr>
                <w:b/>
                <w:sz w:val="19"/>
              </w:rPr>
              <w:t>2개월 전 기상</w:t>
            </w:r>
          </w:p>
        </w:tc>
      </w:tr>
      <w:tr>
        <w:tc>
          <w:tcPr>
            <w:tcW w:type="dxa" w:w="2268"/>
          </w:tcPr>
          <w:p>
            <w:pPr>
              <w:spacing w:line="240" w:lineRule="auto"/>
              <w:jc w:val="center"/>
            </w:pPr>
            <w:r/>
            <w:r>
              <w:rPr>
                <w:b w:val="0"/>
                <w:sz w:val="19"/>
              </w:rPr>
              <w:t>월평균기온</w:t>
            </w:r>
          </w:p>
        </w:tc>
        <w:tc>
          <w:tcPr>
            <w:tcW w:type="dxa" w:w="1701"/>
          </w:tcPr>
          <w:p>
            <w:pPr>
              <w:spacing w:line="240" w:lineRule="auto"/>
              <w:jc w:val="center"/>
            </w:pPr>
            <w:r/>
            <w:r>
              <w:rPr>
                <w:b w:val="0"/>
                <w:sz w:val="19"/>
              </w:rPr>
              <w:t>-0.34</w:t>
            </w:r>
          </w:p>
        </w:tc>
        <w:tc>
          <w:tcPr>
            <w:tcW w:type="dxa" w:w="1701"/>
          </w:tcPr>
          <w:p>
            <w:pPr>
              <w:spacing w:line="240" w:lineRule="auto"/>
              <w:jc w:val="center"/>
            </w:pPr>
            <w:r/>
            <w:r>
              <w:rPr>
                <w:b w:val="0"/>
                <w:sz w:val="19"/>
              </w:rPr>
              <w:t>-0.02</w:t>
            </w:r>
          </w:p>
        </w:tc>
        <w:tc>
          <w:tcPr>
            <w:tcW w:type="dxa" w:w="1701"/>
          </w:tcPr>
          <w:p>
            <w:pPr>
              <w:spacing w:line="240" w:lineRule="auto"/>
              <w:jc w:val="center"/>
            </w:pPr>
            <w:r/>
            <w:r>
              <w:rPr>
                <w:b w:val="0"/>
                <w:sz w:val="19"/>
              </w:rPr>
              <w:t>0.29</w:t>
            </w:r>
          </w:p>
        </w:tc>
      </w:tr>
      <w:tr>
        <w:tc>
          <w:tcPr>
            <w:tcW w:type="dxa" w:w="2268"/>
          </w:tcPr>
          <w:p>
            <w:pPr>
              <w:spacing w:line="240" w:lineRule="auto"/>
              <w:jc w:val="center"/>
            </w:pPr>
            <w:r/>
            <w:r>
              <w:rPr>
                <w:b w:val="0"/>
                <w:sz w:val="19"/>
              </w:rPr>
              <w:t>월강수량</w:t>
            </w:r>
          </w:p>
        </w:tc>
        <w:tc>
          <w:tcPr>
            <w:tcW w:type="dxa" w:w="1701"/>
          </w:tcPr>
          <w:p>
            <w:pPr>
              <w:spacing w:line="240" w:lineRule="auto"/>
              <w:jc w:val="center"/>
            </w:pPr>
            <w:r/>
            <w:r>
              <w:rPr>
                <w:b w:val="0"/>
                <w:sz w:val="19"/>
              </w:rPr>
              <w:t>-0.33</w:t>
            </w:r>
          </w:p>
        </w:tc>
        <w:tc>
          <w:tcPr>
            <w:tcW w:type="dxa" w:w="1701"/>
          </w:tcPr>
          <w:p>
            <w:pPr>
              <w:spacing w:line="240" w:lineRule="auto"/>
              <w:jc w:val="center"/>
            </w:pPr>
            <w:r/>
            <w:r>
              <w:rPr>
                <w:b w:val="0"/>
                <w:sz w:val="19"/>
              </w:rPr>
              <w:t>0.02</w:t>
            </w:r>
          </w:p>
        </w:tc>
        <w:tc>
          <w:tcPr>
            <w:tcW w:type="dxa" w:w="1701"/>
          </w:tcPr>
          <w:p>
            <w:pPr>
              <w:spacing w:line="240" w:lineRule="auto"/>
              <w:jc w:val="center"/>
            </w:pPr>
            <w:r/>
            <w:r>
              <w:rPr>
                <w:b w:val="0"/>
                <w:sz w:val="19"/>
              </w:rPr>
              <w:t>0.38</w:t>
            </w:r>
          </w:p>
        </w:tc>
      </w:tr>
      <w:tr>
        <w:tc>
          <w:tcPr>
            <w:tcW w:type="dxa" w:w="2268"/>
          </w:tcPr>
          <w:p>
            <w:pPr>
              <w:spacing w:line="240" w:lineRule="auto"/>
              <w:jc w:val="center"/>
            </w:pPr>
            <w:r/>
            <w:r>
              <w:rPr>
                <w:b w:val="0"/>
                <w:sz w:val="19"/>
              </w:rPr>
              <w:t>월일조시간</w:t>
            </w:r>
          </w:p>
        </w:tc>
        <w:tc>
          <w:tcPr>
            <w:tcW w:type="dxa" w:w="1701"/>
          </w:tcPr>
          <w:p>
            <w:pPr>
              <w:spacing w:line="240" w:lineRule="auto"/>
              <w:jc w:val="center"/>
            </w:pPr>
            <w:r/>
            <w:r>
              <w:rPr>
                <w:b w:val="0"/>
                <w:sz w:val="19"/>
              </w:rPr>
              <w:t>-0.41</w:t>
            </w:r>
          </w:p>
        </w:tc>
        <w:tc>
          <w:tcPr>
            <w:tcW w:type="dxa" w:w="1701"/>
          </w:tcPr>
          <w:p>
            <w:pPr>
              <w:spacing w:line="240" w:lineRule="auto"/>
              <w:jc w:val="center"/>
            </w:pPr>
            <w:r/>
            <w:r>
              <w:rPr>
                <w:b w:val="0"/>
                <w:sz w:val="19"/>
              </w:rPr>
              <w:t>-0.49</w:t>
            </w:r>
          </w:p>
        </w:tc>
        <w:tc>
          <w:tcPr>
            <w:tcW w:type="dxa" w:w="1701"/>
          </w:tcPr>
          <w:p>
            <w:pPr>
              <w:spacing w:line="240" w:lineRule="auto"/>
              <w:jc w:val="center"/>
            </w:pPr>
            <w:r/>
            <w:r>
              <w:rPr>
                <w:b w:val="0"/>
                <w:sz w:val="19"/>
              </w:rPr>
              <w:t>-0.44</w:t>
            </w:r>
          </w:p>
        </w:tc>
      </w:tr>
      <w:tr>
        <w:tc>
          <w:tcPr>
            <w:tcW w:type="dxa" w:w="2268"/>
          </w:tcPr>
          <w:p>
            <w:pPr>
              <w:spacing w:line="240" w:lineRule="auto"/>
              <w:jc w:val="center"/>
            </w:pPr>
            <w:r/>
            <w:r>
              <w:rPr>
                <w:b w:val="0"/>
                <w:sz w:val="19"/>
              </w:rPr>
              <w:t>평균최고기온</w:t>
            </w:r>
          </w:p>
        </w:tc>
        <w:tc>
          <w:tcPr>
            <w:tcW w:type="dxa" w:w="1701"/>
          </w:tcPr>
          <w:p>
            <w:pPr>
              <w:spacing w:line="240" w:lineRule="auto"/>
              <w:jc w:val="center"/>
            </w:pPr>
            <w:r/>
            <w:r>
              <w:rPr>
                <w:b w:val="0"/>
                <w:sz w:val="19"/>
              </w:rPr>
              <w:t>-0.35</w:t>
            </w:r>
          </w:p>
        </w:tc>
        <w:tc>
          <w:tcPr>
            <w:tcW w:type="dxa" w:w="1701"/>
          </w:tcPr>
          <w:p>
            <w:pPr>
              <w:spacing w:line="240" w:lineRule="auto"/>
              <w:jc w:val="center"/>
            </w:pPr>
            <w:r/>
            <w:r>
              <w:rPr>
                <w:b w:val="0"/>
                <w:sz w:val="19"/>
              </w:rPr>
              <w:t>-0.05</w:t>
            </w:r>
          </w:p>
        </w:tc>
        <w:tc>
          <w:tcPr>
            <w:tcW w:type="dxa" w:w="1701"/>
          </w:tcPr>
          <w:p>
            <w:pPr>
              <w:spacing w:line="240" w:lineRule="auto"/>
              <w:jc w:val="center"/>
            </w:pPr>
            <w:r/>
            <w:r>
              <w:rPr>
                <w:b w:val="0"/>
                <w:sz w:val="19"/>
              </w:rPr>
              <w:t>0.23</w:t>
            </w:r>
          </w:p>
        </w:tc>
      </w:tr>
      <w:tr>
        <w:tc>
          <w:tcPr>
            <w:tcW w:type="dxa" w:w="2268"/>
          </w:tcPr>
          <w:p>
            <w:pPr>
              <w:spacing w:line="240" w:lineRule="auto"/>
              <w:jc w:val="center"/>
            </w:pPr>
            <w:r/>
            <w:r>
              <w:rPr>
                <w:b w:val="0"/>
                <w:sz w:val="19"/>
              </w:rPr>
              <w:t>평균최저기온</w:t>
            </w:r>
          </w:p>
        </w:tc>
        <w:tc>
          <w:tcPr>
            <w:tcW w:type="dxa" w:w="1701"/>
          </w:tcPr>
          <w:p>
            <w:pPr>
              <w:spacing w:line="240" w:lineRule="auto"/>
              <w:jc w:val="center"/>
            </w:pPr>
            <w:r/>
            <w:r>
              <w:rPr>
                <w:b w:val="0"/>
                <w:sz w:val="19"/>
              </w:rPr>
              <w:t>-0.32</w:t>
            </w:r>
          </w:p>
        </w:tc>
        <w:tc>
          <w:tcPr>
            <w:tcW w:type="dxa" w:w="1701"/>
          </w:tcPr>
          <w:p>
            <w:pPr>
              <w:spacing w:line="240" w:lineRule="auto"/>
              <w:jc w:val="center"/>
            </w:pPr>
            <w:r/>
            <w:r>
              <w:rPr>
                <w:b w:val="0"/>
                <w:sz w:val="19"/>
              </w:rPr>
              <w:t>0.04</w:t>
            </w:r>
          </w:p>
        </w:tc>
        <w:tc>
          <w:tcPr>
            <w:tcW w:type="dxa" w:w="1701"/>
          </w:tcPr>
          <w:p>
            <w:pPr>
              <w:spacing w:line="240" w:lineRule="auto"/>
              <w:jc w:val="center"/>
            </w:pPr>
            <w:r/>
            <w:r>
              <w:rPr>
                <w:b w:val="0"/>
                <w:sz w:val="19"/>
              </w:rPr>
              <w:t>0.35</w:t>
            </w:r>
          </w:p>
        </w:tc>
      </w:tr>
      <w:tr>
        <w:tc>
          <w:tcPr>
            <w:tcW w:type="dxa" w:w="2268"/>
          </w:tcPr>
          <w:p>
            <w:pPr>
              <w:spacing w:line="240" w:lineRule="auto"/>
              <w:jc w:val="center"/>
            </w:pPr>
            <w:r/>
            <w:r>
              <w:rPr>
                <w:b w:val="0"/>
                <w:sz w:val="19"/>
              </w:rPr>
              <w:t>평균상대습도</w:t>
            </w:r>
          </w:p>
        </w:tc>
        <w:tc>
          <w:tcPr>
            <w:tcW w:type="dxa" w:w="1701"/>
          </w:tcPr>
          <w:p>
            <w:pPr>
              <w:spacing w:line="240" w:lineRule="auto"/>
              <w:jc w:val="center"/>
            </w:pPr>
            <w:r/>
            <w:r>
              <w:rPr>
                <w:b w:val="0"/>
                <w:sz w:val="19"/>
              </w:rPr>
              <w:t>0.20</w:t>
            </w:r>
          </w:p>
        </w:tc>
        <w:tc>
          <w:tcPr>
            <w:tcW w:type="dxa" w:w="1701"/>
          </w:tcPr>
          <w:p>
            <w:pPr>
              <w:spacing w:line="240" w:lineRule="auto"/>
              <w:jc w:val="center"/>
            </w:pPr>
            <w:r/>
            <w:r>
              <w:rPr>
                <w:b w:val="0"/>
                <w:sz w:val="19"/>
              </w:rPr>
              <w:t>0.51</w:t>
            </w:r>
          </w:p>
        </w:tc>
        <w:tc>
          <w:tcPr>
            <w:tcW w:type="dxa" w:w="1701"/>
          </w:tcPr>
          <w:p>
            <w:pPr>
              <w:spacing w:line="240" w:lineRule="auto"/>
              <w:jc w:val="center"/>
            </w:pPr>
            <w:r/>
            <w:r>
              <w:rPr>
                <w:b w:val="0"/>
                <w:sz w:val="19"/>
              </w:rPr>
              <w:t>0.74</w:t>
            </w:r>
          </w:p>
        </w:tc>
      </w:tr>
    </w:tbl>
    <w:p>
      <w:pPr>
        <w:spacing w:after="80" w:before="40" w:line="240" w:lineRule="auto"/>
        <w:jc w:val="left"/>
      </w:pPr>
      <w:r>
        <w:rPr>
          <w:b w:val="0"/>
          <w:sz w:val="18"/>
        </w:rPr>
        <w:t>※ 자료: 기상청 ASOS 월자료(대전, 133). 상관계수는 관련의 방향과 크기를 보여 줄 뿐 원인과 결과를 뜻하지 않음.</w:t>
      </w:r>
    </w:p>
    <w:p>
      <w:pPr>
        <w:spacing w:line="240" w:lineRule="auto"/>
        <w:jc w:val="center"/>
      </w:pPr>
      <w:r>
        <w:drawing xmlns:a="http://schemas.openxmlformats.org/drawingml/2006/main" xmlns:c="http://schemas.openxmlformats.org/drawingml/2006/chart">
          <wp:inline distT="0" distB="0" distL="0" distR="0">
            <wp:extent cx="6120000" cy="1584000"/>
            <wp:effectExtent l="0" t="0" r="0" b="0"/>
            <wp:docPr id="1002" name="Chart 2"/>
            <wp:cNvGraphicFramePr/>
            <a:graphic>
              <a:graphicData uri="http://schemas.openxmlformats.org/drawingml/2006/chart">
                <c:chart r:id="rId10"/>
              </a:graphicData>
            </a:graphic>
          </wp:inline>
        </w:drawing>
      </w:r>
    </w:p>
    <w:p>
      <w:pPr>
        <w:keepNext/>
        <w:spacing w:after="40" w:before="80"/>
        <w:jc w:val="left"/>
      </w:pPr>
      <w:r>
        <w:rPr>
          <w:b/>
          <w:sz w:val="24"/>
        </w:rPr>
        <w:t>2) 상관분석 결과</w:t>
      </w:r>
    </w:p>
    <w:p>
      <w:pPr>
        <w:spacing w:after="0" w:before="0"/>
        <w:ind w:firstLine="240"/>
        <w:jc w:val="both"/>
      </w:pPr>
      <w:r>
        <w:rPr>
          <w:b w:val="0"/>
        </w:rPr>
        <w:t>표 2에서 가장 두드러진 요소는 일조시간입니다. 가격과의 상관계수는 같은 달 −0.41, 1개월 전 −0.49, 2개월 전 −0.44로 모두 음수였습니다. 일조시간이 짧았던 시기와 그 이후에 가격이 상대적으로 높았다는 의미입니다. 토마토는 빛이 부족하면 생육과 착색에 영향을 받을 수 있으므로(제주특별자치도농업기술원), 일조 부족이 생산에 불리하게 작용했을 가능성을 생각해 볼 수 있습니다. 다만 이 자료에는 실제 출하량이 없어 일조 부족 때문에 공급이 줄었다고 확정할 수는 없습니다. 평균상대습도는 2개월 전 값과의 상관계수가 0.74로 가장 컸습니다. 습한 시기에 구름이 많고 일조가 줄어드는 현상이 함께 나타났을 수 있지만, 이 역시 추가 확인이 필요합니다.</w:t>
      </w:r>
    </w:p>
    <w:p>
      <w:pPr>
        <w:spacing w:after="0" w:before="0"/>
        <w:ind w:firstLine="240"/>
        <w:jc w:val="both"/>
      </w:pPr>
      <w:r>
        <w:rPr>
          <w:b w:val="0"/>
        </w:rPr>
        <w:t>기온과 가격의 관계는 보다 신중하게 해석할 필요가 있습니다. 같은 달 평균기온과의 상관계수는 −0.34였지만 2개월 전 기온과는 0.29로 방향이 달랐습니다. 이를 두고 기온이 높으면 가격이 오르거나 내린다고 단정하기는 어렵습니다. 여름에는 기온이 높으면서 가격이 낮고, 가을에는 가격이 오르는 계절 흐름이 함께 반영되었을 가능성이 있기 때문입니다. 따라서 표 2의 상관계수는 기상의 영향을 살펴보는 단서는 될 수 있지만, 생산량과 가격 변동의 원인을 가려내기에는 어려움이 있습니다. 이에 같은 달을 연도별로 비교하여 보완하였습니다.</w:t>
      </w:r>
    </w:p>
    <w:p>
      <w:pPr>
        <w:keepNext/>
        <w:spacing w:after="40" w:before="80"/>
        <w:jc w:val="left"/>
      </w:pPr>
      <w:r>
        <w:rPr>
          <w:b/>
          <w:sz w:val="24"/>
        </w:rPr>
        <w:t>3) 같은 달 비교로 본 사례</w:t>
      </w:r>
    </w:p>
    <w:p>
      <w:pPr>
        <w:spacing w:after="0" w:before="0"/>
        <w:ind w:firstLine="240"/>
        <w:jc w:val="both"/>
      </w:pPr>
      <w:r>
        <w:rPr>
          <w:b w:val="0"/>
        </w:rPr>
        <w:t>2024년 10월 가격은 12,520원으로 조사 기간 중 가장 높았습니다. 그 직전인 9월 대전 평균기온은 25.8℃였고 평균최저기온도 22.0℃였습니다. 2025년과 2026년 9월 평균기온보다 각각 2.5℃, 3.2℃ 높았습니다. 토마토는 고온에서 착과와 품질에 어려움을 겪을 수 있고(제주특별자치도농업기술원), 2024년 10월 일조시간도 147.0시간으로 2023년 같은 달(227.8시간)보다 짧았습니다. 당시 더위와 가격 상승을 연결한 보도도 있었습니다(아주경제, 2024.10.17). 이 사례는 가을이 가격이 높은 시기이면서도, 그 전에 이어진 고온이 재배와 출하에 부담이 될 수 있음을 보여줍니다. 다만 대전 기상만으로 전국적인 가격 상승 원인을 특정할 수는 없습니다.</w:t>
      </w:r>
    </w:p>
    <w:p>
      <w:pPr>
        <w:spacing w:after="0" w:before="0"/>
        <w:ind w:firstLine="240"/>
        <w:jc w:val="both"/>
      </w:pPr>
      <w:r>
        <w:rPr>
          <w:b w:val="0"/>
        </w:rPr>
        <w:t>2025년 8월에는 가격이 7,596원으로 2024년 같은 달보다 36.5% 높았습니다. 2025년 6월 대전 강수량은 300.1mm로 전년 6월(76.9mm)의 약 4배였고, 7월에도 300.8mm의 비가 내렸습니다. 7월 폭우로 생육이 늦어져 출하가 지연되었다는 보도도 있었습니다(한국경제, 2025.7.30). 앞선 상관분석에서 비가 많은 시기와 이후 가격이 높게 나타난 경향을 이해하는 데 도움이 되는 사례입니다. 재배자의 입장에서는 강수가 많은 달의 기상 상황뿐 아니라, 이후 출하 일정이 지연될 가능성까지 함께 살펴야 한다는 의미가 있습니다.</w:t>
      </w:r>
    </w:p>
    <w:p>
      <w:pPr>
        <w:spacing w:after="0" w:before="0"/>
        <w:ind w:firstLine="240"/>
        <w:jc w:val="both"/>
      </w:pPr>
      <w:r>
        <w:rPr>
          <w:b w:val="0"/>
        </w:rPr>
        <w:t>반대로 2026년 6월 가격은 4,207원으로 36개월 중 가장 낮았습니다. 직전 5월의 일조시간은 274.4시간으로 2025년 5월(194.1시간)보다 길었으며, 6월 강수량도 109.7mm로 전년(300.1mm)보다 적었습니다. 농림축산식품부는 그해 여름 양호한 기상과 재배면적 확대에 따라 출하량이 늘었다고 설명했습니다(농림축산식품부, 2026). 생산 여건이 좋아졌다고 해서 재배자가 반드시 높은 판매가격을 받기는 어렵다는 점도 확인할 수 있습니다. 공급이 늘어나면 오히려 가격이 낮아질 수 있기 때문입니다. 수확량뿐 아니라 출하 시점과 예상 공급량을 함께 고려해야 합니다.</w:t>
      </w:r>
    </w:p>
    <w:p>
      <w:pPr>
        <w:keepNext/>
        <w:spacing w:after="40" w:before="80"/>
        <w:jc w:val="left"/>
      </w:pPr>
      <w:r>
        <w:rPr>
          <w:b/>
          <w:sz w:val="24"/>
        </w:rPr>
        <w:t>4) 분석의 한계</w:t>
      </w:r>
    </w:p>
    <w:p>
      <w:pPr>
        <w:spacing w:after="0" w:before="0"/>
        <w:ind w:firstLine="240"/>
        <w:jc w:val="both"/>
      </w:pPr>
      <w:r>
        <w:rPr>
          <w:b w:val="0"/>
        </w:rPr>
        <w:t>이번 분석에는 분명한 한계가 있습니다. 대전에서 판매되는 토마토가 모두 대전에서 생산되는 것은 아니며, 시설재배는 바깥 날씨의 영향을 일부 조절할 수 있습니다. 가격에는 기상 외에도 재배면적, 다른 지역의 출하량, 소비 수요가 작용합니다. 특히 월별 자료를 그대로 비교하면 계절성이 상관계수에 섞일 수 있습니다. 따라서 이번 결과는 대전의 날씨와 소매가격이 함께 움직인 경향을 살펴본 것이지, 날씨가 가격 변동을 일으켰다는 증거는 아닙니다. 실제 창업 판단에 활용하려면 주요 산지의 출하량과 도매가격, 시설재배 비용을 추가로 확인해야 합니다.</w:t>
      </w:r>
    </w:p>
    <w:p>
      <w:pPr>
        <w:keepNext/>
        <w:spacing w:after="0" w:before="160"/>
        <w:jc w:val="left"/>
      </w:pPr>
      <w:r>
        <w:rPr>
          <w:b/>
          <w:sz w:val="26"/>
        </w:rPr>
        <w:t>4. 결론</w:t>
      </w:r>
    </w:p>
    <w:p>
      <w:pPr>
        <w:spacing w:after="0" w:before="0"/>
        <w:ind w:firstLine="240"/>
        <w:jc w:val="both"/>
      </w:pPr>
      <w:r>
        <w:rPr>
          <w:b w:val="0"/>
        </w:rPr>
        <w:t>처음에는 토마토 가격이 높은 달을 찾으면 출하 계획도 쉽게 세울 수 있을 것이라고 생각했습니다. 실제로 3년 평균 가격은 6월보다 10월에 약 2.5배 높았습니다. 그러나 같은 10월에도 해마다 가격 차이가 컸고, 2026년 6월처럼 생산 여건이 좋을 때 오히려 가격이 낮아지는 경우도 있었습니다. 가격만 보고 재배 시기를 결정하기 어렵다는 사실을 알게 된 것입니다.</w:t>
      </w:r>
    </w:p>
    <w:p>
      <w:pPr>
        <w:spacing w:after="0" w:before="0"/>
        <w:ind w:firstLine="240"/>
        <w:jc w:val="both"/>
      </w:pPr>
      <w:r>
        <w:rPr>
          <w:b w:val="0"/>
        </w:rPr>
        <w:t>일조시간과 습도는 가격과 비교적 뚜렷한 상관을 보였지만, 그 수치만으로 원인을 설명할 수는 없었습니다. 스마트팜을 준비하는 입장에서 중요한 점은 기상을 예측하는 것에 그치지 않고, 고온이나 일조 부족으로 출하가 늦어질 가능성과 같은 시기에 시장에 출하되는 물량까지 함께 살펴야 한다는 것입니다. 앞으로는 월별 소매가격뿐 아니라 도매가격, 출하량, 냉난방 비용도 비교해 실제 수익을 기준으로 재배 계획을 세워 보고 싶습니다.</w:t>
      </w:r>
    </w:p>
    <w:p>
      <w:pPr>
        <w:spacing w:after="40" w:before="160"/>
        <w:jc w:val="left"/>
      </w:pPr>
      <w:r>
        <w:rPr>
          <w:b/>
          <w:sz w:val="24"/>
        </w:rPr>
        <w:t>참고문헌</w:t>
      </w:r>
    </w:p>
    <w:p>
      <w:pPr>
        <w:spacing w:after="0" w:before="0" w:line="240" w:lineRule="auto"/>
        <w:ind w:hanging="240" w:left="240"/>
        <w:jc w:val="left"/>
      </w:pPr>
      <w:r>
        <w:rPr>
          <w:b w:val="0"/>
          <w:sz w:val="19"/>
        </w:rPr>
        <w:t>한국농수산식품유통공사, 농산물유통정보(KAMIS) 소매가격 일별 자료(토마토, 상품, 1kg, 대전·전국), www.kamis.or.kr, 2026.10.10~10.11 조회.</w:t>
      </w:r>
    </w:p>
    <w:p>
      <w:pPr>
        <w:spacing w:after="0" w:before="0" w:line="240" w:lineRule="auto"/>
        <w:ind w:hanging="240" w:left="240"/>
        <w:jc w:val="left"/>
      </w:pPr>
      <w:r>
        <w:rPr>
          <w:b w:val="0"/>
          <w:sz w:val="19"/>
        </w:rPr>
        <w:t>기상청, 기상자료개방포털 종관기상관측(ASOS) 월자료(대전, 지점번호 133), data.kma.go.kr, 2026.10.11 다운로드.</w:t>
      </w:r>
    </w:p>
    <w:p>
      <w:pPr>
        <w:spacing w:after="0" w:before="0" w:line="240" w:lineRule="auto"/>
        <w:ind w:hanging="240" w:left="240"/>
        <w:jc w:val="left"/>
      </w:pPr>
      <w:r>
        <w:rPr>
          <w:b w:val="0"/>
          <w:sz w:val="19"/>
        </w:rPr>
        <w:t>제주특별자치도농업기술원, 「과채류(토마토)」 재배기술 자료. https://agri.jeju.go.kr</w:t>
      </w:r>
    </w:p>
    <w:p>
      <w:pPr>
        <w:spacing w:after="0" w:before="0" w:line="240" w:lineRule="auto"/>
        <w:ind w:hanging="240" w:left="240"/>
        <w:jc w:val="left"/>
      </w:pPr>
      <w:r>
        <w:rPr>
          <w:b w:val="0"/>
          <w:sz w:val="19"/>
        </w:rPr>
        <w:t>아주경제(2024.10.17). 토마토 소매가격 급등 관련 기사. https://www.ajunews.com/view/20241017150602169</w:t>
      </w:r>
    </w:p>
    <w:p>
      <w:pPr>
        <w:spacing w:after="0" w:before="0" w:line="240" w:lineRule="auto"/>
        <w:ind w:hanging="240" w:left="240"/>
        <w:jc w:val="left"/>
      </w:pPr>
      <w:r>
        <w:rPr>
          <w:b w:val="0"/>
          <w:sz w:val="19"/>
        </w:rPr>
        <w:t>한국경제(2025.7.30). 토마토 도매가격 상승 관련 기사. https://www.hankyung.com/article/2025073020361</w:t>
      </w:r>
    </w:p>
    <w:p>
      <w:pPr>
        <w:spacing w:after="0" w:before="0" w:line="240" w:lineRule="auto"/>
        <w:ind w:hanging="240" w:left="240"/>
        <w:jc w:val="left"/>
      </w:pPr>
      <w:r>
        <w:rPr>
          <w:b w:val="0"/>
          <w:sz w:val="19"/>
        </w:rPr>
        <w:t>농림축산식품부(2026.7). 「박정훈 식량정책실장, 토마토·애호박 농가 격려 및 출하 현장 점검」 보도자료. https://www.mafra.go.kr/bbs/home/792/578571/artclView.do</w:t>
      </w:r>
    </w:p>
    <w:sectPr w:rsidR="00FC693F" w:rsidRPr="0006063C" w:rsidSect="00034616">
      <w:pgSz w:w="11906" w:h="16838"/>
      <w:pgMar w:top="1020" w:right="1134" w:bottom="85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맑은 고딕">
    <w:altName w:val="Malgun Gothic"/>
    <w:panose1 w:val="020B0503020000020004"/>
    <w:charset w:val="81"/>
    <w:family w:val="modern"/>
    <w:pitch w:val="variable"/>
  </w:font>
  <w:font w:name="바탕">
    <w:altName w:val="Batang"/>
    <w:panose1 w:val="02030600000101010101"/>
    <w:charset w:val="81"/>
    <w:family w:val="roman"/>
    <w:pitch w:val="variable"/>
  </w:font>
  <w:font w:name="HY헤드라인M">
    <w:charset w:val="81"/>
    <w:family w:val="roman"/>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바탕" w:hAnsi="바탕"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950" b="1"/>
            </a:pPr>
            <a:r>
              <a:rPr lang="ko-KR" sz="950" b="1">
                <a:latin typeface="맑은 고딕"/>
                <a:ea typeface="맑은 고딕"/>
              </a:rPr>
              <a:t>그래프 1. 토마토 월평균 소매가격 추이(대전·전국)</a:t>
            </a:r>
          </a:p>
        </c:rich>
      </c:tx>
      <c:overlay val="0"/>
    </c:title>
    <c:autoTitleDeleted val="0"/>
    <c:plotArea>
      <c:layout/>
      <c:lineChart>
        <c:grouping val="standard"/>
        <c:varyColors val="0"/>
        <c:ser>
          <c:idx val="0"/>
          <c:order val="0"/>
          <c:tx>
            <c:strRef>
              <c:f>Sheet1!$B$1</c:f>
              <c:strCache>
                <c:ptCount val="1"/>
                <c:pt idx="0">
                  <c:v>대전(원/kg)</c:v>
                </c:pt>
              </c:strCache>
            </c:strRef>
          </c:tx>
          <c:spPr>
            <a:ln w="19050">
              <a:solidFill>
                <a:srgbClr val="2E5C8A"/>
              </a:solidFill>
            </a:ln>
          </c:spPr>
          <c:marker>
            <c:symbol val="circle"/>
            <c:size val="3"/>
            <c:spPr>
              <a:solidFill>
                <a:srgbClr val="2E5C8A"/>
              </a:solidFill>
              <a:ln>
                <a:solidFill>
                  <a:srgbClr val="2E5C8A"/>
                </a:solidFill>
              </a:ln>
            </c:spPr>
          </c:marker>
          <c:cat>
            <c:strRef>
              <c:f>Sheet1!$A$2:$A$37</c:f>
              <c:strCache>
                <c:ptCount val="36"/>
                <c:pt idx="0">
                  <c:v>2023.10</c:v>
                </c:pt>
                <c:pt idx="1">
                  <c:v>2023.11</c:v>
                </c:pt>
                <c:pt idx="2">
                  <c:v>2023.12</c:v>
                </c:pt>
                <c:pt idx="3">
                  <c:v>2024.01</c:v>
                </c:pt>
                <c:pt idx="4">
                  <c:v>2024.02</c:v>
                </c:pt>
                <c:pt idx="5">
                  <c:v>2024.03</c:v>
                </c:pt>
                <c:pt idx="6">
                  <c:v>2024.04</c:v>
                </c:pt>
                <c:pt idx="7">
                  <c:v>2024.05</c:v>
                </c:pt>
                <c:pt idx="8">
                  <c:v>2024.06</c:v>
                </c:pt>
                <c:pt idx="9">
                  <c:v>2024.07</c:v>
                </c:pt>
                <c:pt idx="10">
                  <c:v>2024.08</c:v>
                </c:pt>
                <c:pt idx="11">
                  <c:v>2024.09</c:v>
                </c:pt>
                <c:pt idx="12">
                  <c:v>2024.10</c:v>
                </c:pt>
                <c:pt idx="13">
                  <c:v>2024.11</c:v>
                </c:pt>
                <c:pt idx="14">
                  <c:v>2024.12</c:v>
                </c:pt>
                <c:pt idx="15">
                  <c:v>2025.01</c:v>
                </c:pt>
                <c:pt idx="16">
                  <c:v>2025.02</c:v>
                </c:pt>
                <c:pt idx="17">
                  <c:v>2025.03</c:v>
                </c:pt>
                <c:pt idx="18">
                  <c:v>2025.04</c:v>
                </c:pt>
                <c:pt idx="19">
                  <c:v>2025.05</c:v>
                </c:pt>
                <c:pt idx="20">
                  <c:v>2025.06</c:v>
                </c:pt>
                <c:pt idx="21">
                  <c:v>2025.07</c:v>
                </c:pt>
                <c:pt idx="22">
                  <c:v>2025.08</c:v>
                </c:pt>
                <c:pt idx="23">
                  <c:v>2025.09</c:v>
                </c:pt>
                <c:pt idx="24">
                  <c:v>2025.10</c:v>
                </c:pt>
                <c:pt idx="25">
                  <c:v>2025.11</c:v>
                </c:pt>
                <c:pt idx="26">
                  <c:v>2025.12</c:v>
                </c:pt>
                <c:pt idx="27">
                  <c:v>2026.01</c:v>
                </c:pt>
                <c:pt idx="28">
                  <c:v>2026.02</c:v>
                </c:pt>
                <c:pt idx="29">
                  <c:v>2026.03</c:v>
                </c:pt>
                <c:pt idx="30">
                  <c:v>2026.04</c:v>
                </c:pt>
                <c:pt idx="31">
                  <c:v>2026.05</c:v>
                </c:pt>
                <c:pt idx="32">
                  <c:v>2026.06</c:v>
                </c:pt>
                <c:pt idx="33">
                  <c:v>2026.07</c:v>
                </c:pt>
                <c:pt idx="34">
                  <c:v>2026.08</c:v>
                </c:pt>
                <c:pt idx="35">
                  <c:v>2026.09</c:v>
                </c:pt>
              </c:strCache>
            </c:strRef>
          </c:cat>
          <c:val>
            <c:numRef>
              <c:f>Sheet1!$B$2:$B$37</c:f>
              <c:numCache>
                <c:formatCode>General</c:formatCode>
                <c:ptCount val="36"/>
                <c:pt idx="0">
                  <c:v>11744</c:v>
                </c:pt>
                <c:pt idx="1">
                  <c:v>8766</c:v>
                </c:pt>
                <c:pt idx="2">
                  <c:v>7192</c:v>
                </c:pt>
                <c:pt idx="3">
                  <c:v>7742</c:v>
                </c:pt>
                <c:pt idx="4">
                  <c:v>10145</c:v>
                </c:pt>
                <c:pt idx="5">
                  <c:v>8935</c:v>
                </c:pt>
                <c:pt idx="6">
                  <c:v>7464</c:v>
                </c:pt>
                <c:pt idx="7">
                  <c:v>5905</c:v>
                </c:pt>
                <c:pt idx="8">
                  <c:v>4645</c:v>
                </c:pt>
                <c:pt idx="9">
                  <c:v>4752</c:v>
                </c:pt>
                <c:pt idx="10">
                  <c:v>5564</c:v>
                </c:pt>
                <c:pt idx="11">
                  <c:v>8642</c:v>
                </c:pt>
                <c:pt idx="12">
                  <c:v>12520</c:v>
                </c:pt>
                <c:pt idx="13">
                  <c:v>10185</c:v>
                </c:pt>
                <c:pt idx="14">
                  <c:v>9701</c:v>
                </c:pt>
                <c:pt idx="15">
                  <c:v>6723</c:v>
                </c:pt>
                <c:pt idx="16">
                  <c:v>6974</c:v>
                </c:pt>
                <c:pt idx="17">
                  <c:v>7126</c:v>
                </c:pt>
                <c:pt idx="18">
                  <c:v>6045</c:v>
                </c:pt>
                <c:pt idx="19">
                  <c:v>4656</c:v>
                </c:pt>
                <c:pt idx="20">
                  <c:v>4487</c:v>
                </c:pt>
                <c:pt idx="21">
                  <c:v>5421</c:v>
                </c:pt>
                <c:pt idx="22">
                  <c:v>7596</c:v>
                </c:pt>
                <c:pt idx="23">
                  <c:v>8843</c:v>
                </c:pt>
                <c:pt idx="24">
                  <c:v>8542</c:v>
                </c:pt>
                <c:pt idx="25">
                  <c:v>8841</c:v>
                </c:pt>
                <c:pt idx="26">
                  <c:v>6873</c:v>
                </c:pt>
                <c:pt idx="27">
                  <c:v>6908</c:v>
                </c:pt>
                <c:pt idx="28">
                  <c:v>6123</c:v>
                </c:pt>
                <c:pt idx="29">
                  <c:v>5859</c:v>
                </c:pt>
                <c:pt idx="30">
                  <c:v>5400</c:v>
                </c:pt>
                <c:pt idx="31">
                  <c:v>5437</c:v>
                </c:pt>
                <c:pt idx="32">
                  <c:v>4207</c:v>
                </c:pt>
                <c:pt idx="33">
                  <c:v>4686</c:v>
                </c:pt>
                <c:pt idx="34">
                  <c:v>5782</c:v>
                </c:pt>
                <c:pt idx="35">
                  <c:v>7968</c:v>
                </c:pt>
              </c:numCache>
            </c:numRef>
          </c:val>
          <c:smooth val="0"/>
        </c:ser>
        <c:ser>
          <c:idx val="1"/>
          <c:order val="1"/>
          <c:tx>
            <c:strRef>
              <c:f>Sheet1!$C$1</c:f>
              <c:strCache>
                <c:ptCount val="1"/>
                <c:pt idx="0">
                  <c:v>전국 평균(원/kg)</c:v>
                </c:pt>
              </c:strCache>
            </c:strRef>
          </c:tx>
          <c:spPr>
            <a:ln w="19050">
              <a:solidFill>
                <a:srgbClr val="C0504D"/>
              </a:solidFill>
            </a:ln>
          </c:spPr>
          <c:marker>
            <c:symbol val="circle"/>
            <c:size val="3"/>
            <c:spPr>
              <a:solidFill>
                <a:srgbClr val="C0504D"/>
              </a:solidFill>
              <a:ln>
                <a:solidFill>
                  <a:srgbClr val="C0504D"/>
                </a:solidFill>
              </a:ln>
            </c:spPr>
          </c:marker>
          <c:cat>
            <c:strRef>
              <c:f>Sheet1!$A$2:$A$37</c:f>
              <c:strCache>
                <c:ptCount val="36"/>
                <c:pt idx="0">
                  <c:v>2023.10</c:v>
                </c:pt>
                <c:pt idx="1">
                  <c:v>2023.11</c:v>
                </c:pt>
                <c:pt idx="2">
                  <c:v>2023.12</c:v>
                </c:pt>
                <c:pt idx="3">
                  <c:v>2024.01</c:v>
                </c:pt>
                <c:pt idx="4">
                  <c:v>2024.02</c:v>
                </c:pt>
                <c:pt idx="5">
                  <c:v>2024.03</c:v>
                </c:pt>
                <c:pt idx="6">
                  <c:v>2024.04</c:v>
                </c:pt>
                <c:pt idx="7">
                  <c:v>2024.05</c:v>
                </c:pt>
                <c:pt idx="8">
                  <c:v>2024.06</c:v>
                </c:pt>
                <c:pt idx="9">
                  <c:v>2024.07</c:v>
                </c:pt>
                <c:pt idx="10">
                  <c:v>2024.08</c:v>
                </c:pt>
                <c:pt idx="11">
                  <c:v>2024.09</c:v>
                </c:pt>
                <c:pt idx="12">
                  <c:v>2024.10</c:v>
                </c:pt>
                <c:pt idx="13">
                  <c:v>2024.11</c:v>
                </c:pt>
                <c:pt idx="14">
                  <c:v>2024.12</c:v>
                </c:pt>
                <c:pt idx="15">
                  <c:v>2025.01</c:v>
                </c:pt>
                <c:pt idx="16">
                  <c:v>2025.02</c:v>
                </c:pt>
                <c:pt idx="17">
                  <c:v>2025.03</c:v>
                </c:pt>
                <c:pt idx="18">
                  <c:v>2025.04</c:v>
                </c:pt>
                <c:pt idx="19">
                  <c:v>2025.05</c:v>
                </c:pt>
                <c:pt idx="20">
                  <c:v>2025.06</c:v>
                </c:pt>
                <c:pt idx="21">
                  <c:v>2025.07</c:v>
                </c:pt>
                <c:pt idx="22">
                  <c:v>2025.08</c:v>
                </c:pt>
                <c:pt idx="23">
                  <c:v>2025.09</c:v>
                </c:pt>
                <c:pt idx="24">
                  <c:v>2025.10</c:v>
                </c:pt>
                <c:pt idx="25">
                  <c:v>2025.11</c:v>
                </c:pt>
                <c:pt idx="26">
                  <c:v>2025.12</c:v>
                </c:pt>
                <c:pt idx="27">
                  <c:v>2026.01</c:v>
                </c:pt>
                <c:pt idx="28">
                  <c:v>2026.02</c:v>
                </c:pt>
                <c:pt idx="29">
                  <c:v>2026.03</c:v>
                </c:pt>
                <c:pt idx="30">
                  <c:v>2026.04</c:v>
                </c:pt>
                <c:pt idx="31">
                  <c:v>2026.05</c:v>
                </c:pt>
                <c:pt idx="32">
                  <c:v>2026.06</c:v>
                </c:pt>
                <c:pt idx="33">
                  <c:v>2026.07</c:v>
                </c:pt>
                <c:pt idx="34">
                  <c:v>2026.08</c:v>
                </c:pt>
                <c:pt idx="35">
                  <c:v>2026.09</c:v>
                </c:pt>
              </c:strCache>
            </c:strRef>
          </c:cat>
          <c:val>
            <c:numRef>
              <c:f>Sheet1!$C$2:$C$37</c:f>
              <c:numCache>
                <c:formatCode>General</c:formatCode>
                <c:ptCount val="36"/>
                <c:pt idx="5">
                  <c:v>8018</c:v>
                </c:pt>
                <c:pt idx="6">
                  <c:v>7075</c:v>
                </c:pt>
                <c:pt idx="7">
                  <c:v>5678</c:v>
                </c:pt>
                <c:pt idx="8">
                  <c:v>4424</c:v>
                </c:pt>
                <c:pt idx="9">
                  <c:v>4419</c:v>
                </c:pt>
                <c:pt idx="10">
                  <c:v>5401</c:v>
                </c:pt>
                <c:pt idx="11">
                  <c:v>8140</c:v>
                </c:pt>
                <c:pt idx="12">
                  <c:v>11524</c:v>
                </c:pt>
                <c:pt idx="13">
                  <c:v>9093</c:v>
                </c:pt>
                <c:pt idx="14">
                  <c:v>8068</c:v>
                </c:pt>
                <c:pt idx="15">
                  <c:v>5638</c:v>
                </c:pt>
                <c:pt idx="16">
                  <c:v>6062</c:v>
                </c:pt>
                <c:pt idx="17">
                  <c:v>6218</c:v>
                </c:pt>
                <c:pt idx="18">
                  <c:v>5316</c:v>
                </c:pt>
                <c:pt idx="19">
                  <c:v>4240</c:v>
                </c:pt>
                <c:pt idx="20">
                  <c:v>3922</c:v>
                </c:pt>
                <c:pt idx="21">
                  <c:v>4576</c:v>
                </c:pt>
                <c:pt idx="22">
                  <c:v>6350</c:v>
                </c:pt>
                <c:pt idx="23">
                  <c:v>7536</c:v>
                </c:pt>
                <c:pt idx="24">
                  <c:v>7519</c:v>
                </c:pt>
                <c:pt idx="25">
                  <c:v>7935</c:v>
                </c:pt>
                <c:pt idx="26">
                  <c:v>6251</c:v>
                </c:pt>
                <c:pt idx="27">
                  <c:v>5836</c:v>
                </c:pt>
                <c:pt idx="28">
                  <c:v>5710</c:v>
                </c:pt>
                <c:pt idx="29">
                  <c:v>5233</c:v>
                </c:pt>
                <c:pt idx="30">
                  <c:v>4792</c:v>
                </c:pt>
                <c:pt idx="31">
                  <c:v>4216</c:v>
                </c:pt>
              </c:numCache>
            </c:numRef>
          </c:val>
          <c:smooth val="0"/>
        </c:ser>
        <c:marker val="1"/>
        <c:axId val="61000001"/>
        <c:axId val="61000002"/>
      </c:lineChart>
      <c:catAx>
        <c:axId val="61000001"/>
        <c:scaling>
          <c:orientation val="minMax"/>
        </c:scaling>
        <c:delete val="0"/>
        <c:axPos val="b"/>
        <c:title>
          <c:tx>
            <c:rich>
              <a:bodyPr/>
              <a:lstStyle/>
              <a:p>
                <a:pPr>
                  <a:defRPr sz="800" b="0"/>
                </a:pPr>
                <a:r>
                  <a:rPr lang="ko-KR" sz="800" b="0">
                    <a:latin typeface="맑은 고딕"/>
                    <a:ea typeface="맑은 고딕"/>
                  </a:rPr>
                  <a:t>연월</a:t>
                </a:r>
              </a:p>
            </c:rich>
          </c:tx>
          <c:overlay val="0"/>
        </c:title>
        <c:numFmt formatCode="General" sourceLinked="1"/>
        <c:majorTickMark val="out"/>
        <c:minorTickMark val="none"/>
        <c:tickLblPos val="nextTo"/>
        <c:txPr>
          <a:bodyPr/>
          <a:lstStyle/>
          <a:p>
            <a:pPr>
              <a:defRPr sz="700">
                <a:latin typeface="맑은 고딕"/>
                <a:ea typeface="맑은 고딕"/>
              </a:defRPr>
            </a:pPr>
            <a:endParaRPr lang="ko-KR"/>
          </a:p>
        </c:txPr>
        <c:crossAx val="61000002"/>
        <c:crosses val="autoZero"/>
        <c:auto val="1"/>
        <c:lblAlgn val="ctr"/>
        <c:lblOffset val="100"/>
        <c:noMultiLvlLbl val="0"/>
      </c:catAx>
      <c:valAx>
        <c:axId val="61000002"/>
        <c:scaling>
          <c:orientation val="minMax"/>
        </c:scaling>
        <c:delete val="0"/>
        <c:axPos val="l"/>
        <c:majorGridlines>
          <c:spPr>
            <a:ln w="6350">
              <a:solidFill>
                <a:srgbClr val="D9D9D9"/>
              </a:solidFill>
            </a:ln>
          </c:spPr>
        </c:majorGridlines>
        <c:title>
          <c:tx>
            <c:rich>
              <a:bodyPr rot="-5400000" vert="horz"/>
              <a:lstStyle/>
              <a:p>
                <a:pPr>
                  <a:defRPr sz="800" b="0"/>
                </a:pPr>
                <a:r>
                  <a:rPr lang="ko-KR" sz="800" b="0">
                    <a:latin typeface="맑은 고딕"/>
                    <a:ea typeface="맑은 고딕"/>
                  </a:rPr>
                  <a:t>소매가격(원/kg)</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61000001"/>
        <c:crosses val="autoZero"/>
        <c:crossBetween val="between"/>
      </c:valAx>
    </c:plotArea>
    <c:legend>
      <c:legendPos val="b"/>
      <c:overlay val="0"/>
      <c:txPr>
        <a:bodyPr/>
        <a:lstStyle/>
        <a:p>
          <a:pPr>
            <a:defRPr sz="800">
              <a:latin typeface="맑은 고딕"/>
              <a:ea typeface="맑은 고딕"/>
            </a:defRPr>
          </a:pPr>
          <a:endParaRPr lang="ko-KR"/>
        </a:p>
      </c:txPr>
    </c:legend>
    <c:plotVisOnly val="1"/>
    <c:dispBlanksAs val="gap"/>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950" b="1"/>
            </a:pPr>
            <a:r>
              <a:rPr lang="ko-KR" sz="950" b="1">
                <a:latin typeface="맑은 고딕"/>
                <a:ea typeface="맑은 고딕"/>
              </a:rPr>
              <a:t>그래프 2. 대전 토마토 소매가격과 월일조시간</a:t>
            </a:r>
          </a:p>
        </c:rich>
      </c:tx>
      <c:overlay val="0"/>
    </c:title>
    <c:autoTitleDeleted val="0"/>
    <c:plotArea>
      <c:layout/>
      <c:lineChart>
        <c:grouping val="standard"/>
        <c:varyColors val="0"/>
        <c:ser>
          <c:idx val="0"/>
          <c:order val="0"/>
          <c:tx>
            <c:strRef>
              <c:f>Sheet1!$B$1</c:f>
              <c:strCache>
                <c:ptCount val="1"/>
                <c:pt idx="0">
                  <c:v>대전 소매가격(원/kg)</c:v>
                </c:pt>
              </c:strCache>
            </c:strRef>
          </c:tx>
          <c:spPr>
            <a:ln w="19050">
              <a:solidFill>
                <a:srgbClr val="2E5C8A"/>
              </a:solidFill>
            </a:ln>
          </c:spPr>
          <c:marker>
            <c:symbol val="circle"/>
            <c:size val="3"/>
            <c:spPr>
              <a:solidFill>
                <a:srgbClr val="2E5C8A"/>
              </a:solidFill>
              <a:ln>
                <a:solidFill>
                  <a:srgbClr val="2E5C8A"/>
                </a:solidFill>
              </a:ln>
            </c:spPr>
          </c:marker>
          <c:cat>
            <c:strRef>
              <c:f>Sheet1!$A$2:$A$37</c:f>
              <c:strCache>
                <c:ptCount val="36"/>
                <c:pt idx="0">
                  <c:v>2023.10</c:v>
                </c:pt>
                <c:pt idx="1">
                  <c:v>2023.11</c:v>
                </c:pt>
                <c:pt idx="2">
                  <c:v>2023.12</c:v>
                </c:pt>
                <c:pt idx="3">
                  <c:v>2024.01</c:v>
                </c:pt>
                <c:pt idx="4">
                  <c:v>2024.02</c:v>
                </c:pt>
                <c:pt idx="5">
                  <c:v>2024.03</c:v>
                </c:pt>
                <c:pt idx="6">
                  <c:v>2024.04</c:v>
                </c:pt>
                <c:pt idx="7">
                  <c:v>2024.05</c:v>
                </c:pt>
                <c:pt idx="8">
                  <c:v>2024.06</c:v>
                </c:pt>
                <c:pt idx="9">
                  <c:v>2024.07</c:v>
                </c:pt>
                <c:pt idx="10">
                  <c:v>2024.08</c:v>
                </c:pt>
                <c:pt idx="11">
                  <c:v>2024.09</c:v>
                </c:pt>
                <c:pt idx="12">
                  <c:v>2024.10</c:v>
                </c:pt>
                <c:pt idx="13">
                  <c:v>2024.11</c:v>
                </c:pt>
                <c:pt idx="14">
                  <c:v>2024.12</c:v>
                </c:pt>
                <c:pt idx="15">
                  <c:v>2025.01</c:v>
                </c:pt>
                <c:pt idx="16">
                  <c:v>2025.02</c:v>
                </c:pt>
                <c:pt idx="17">
                  <c:v>2025.03</c:v>
                </c:pt>
                <c:pt idx="18">
                  <c:v>2025.04</c:v>
                </c:pt>
                <c:pt idx="19">
                  <c:v>2025.05</c:v>
                </c:pt>
                <c:pt idx="20">
                  <c:v>2025.06</c:v>
                </c:pt>
                <c:pt idx="21">
                  <c:v>2025.07</c:v>
                </c:pt>
                <c:pt idx="22">
                  <c:v>2025.08</c:v>
                </c:pt>
                <c:pt idx="23">
                  <c:v>2025.09</c:v>
                </c:pt>
                <c:pt idx="24">
                  <c:v>2025.10</c:v>
                </c:pt>
                <c:pt idx="25">
                  <c:v>2025.11</c:v>
                </c:pt>
                <c:pt idx="26">
                  <c:v>2025.12</c:v>
                </c:pt>
                <c:pt idx="27">
                  <c:v>2026.01</c:v>
                </c:pt>
                <c:pt idx="28">
                  <c:v>2026.02</c:v>
                </c:pt>
                <c:pt idx="29">
                  <c:v>2026.03</c:v>
                </c:pt>
                <c:pt idx="30">
                  <c:v>2026.04</c:v>
                </c:pt>
                <c:pt idx="31">
                  <c:v>2026.05</c:v>
                </c:pt>
                <c:pt idx="32">
                  <c:v>2026.06</c:v>
                </c:pt>
                <c:pt idx="33">
                  <c:v>2026.07</c:v>
                </c:pt>
                <c:pt idx="34">
                  <c:v>2026.08</c:v>
                </c:pt>
                <c:pt idx="35">
                  <c:v>2026.09</c:v>
                </c:pt>
              </c:strCache>
            </c:strRef>
          </c:cat>
          <c:val>
            <c:numRef>
              <c:f>Sheet1!$B$2:$B$37</c:f>
              <c:numCache>
                <c:formatCode>General</c:formatCode>
                <c:ptCount val="36"/>
                <c:pt idx="0">
                  <c:v>11744</c:v>
                </c:pt>
                <c:pt idx="1">
                  <c:v>8766</c:v>
                </c:pt>
                <c:pt idx="2">
                  <c:v>7192</c:v>
                </c:pt>
                <c:pt idx="3">
                  <c:v>7742</c:v>
                </c:pt>
                <c:pt idx="4">
                  <c:v>10145</c:v>
                </c:pt>
                <c:pt idx="5">
                  <c:v>8935</c:v>
                </c:pt>
                <c:pt idx="6">
                  <c:v>7464</c:v>
                </c:pt>
                <c:pt idx="7">
                  <c:v>5905</c:v>
                </c:pt>
                <c:pt idx="8">
                  <c:v>4645</c:v>
                </c:pt>
                <c:pt idx="9">
                  <c:v>4752</c:v>
                </c:pt>
                <c:pt idx="10">
                  <c:v>5564</c:v>
                </c:pt>
                <c:pt idx="11">
                  <c:v>8642</c:v>
                </c:pt>
                <c:pt idx="12">
                  <c:v>12520</c:v>
                </c:pt>
                <c:pt idx="13">
                  <c:v>10185</c:v>
                </c:pt>
                <c:pt idx="14">
                  <c:v>9701</c:v>
                </c:pt>
                <c:pt idx="15">
                  <c:v>6723</c:v>
                </c:pt>
                <c:pt idx="16">
                  <c:v>6974</c:v>
                </c:pt>
                <c:pt idx="17">
                  <c:v>7126</c:v>
                </c:pt>
                <c:pt idx="18">
                  <c:v>6045</c:v>
                </c:pt>
                <c:pt idx="19">
                  <c:v>4656</c:v>
                </c:pt>
                <c:pt idx="20">
                  <c:v>4487</c:v>
                </c:pt>
                <c:pt idx="21">
                  <c:v>5421</c:v>
                </c:pt>
                <c:pt idx="22">
                  <c:v>7596</c:v>
                </c:pt>
                <c:pt idx="23">
                  <c:v>8843</c:v>
                </c:pt>
                <c:pt idx="24">
                  <c:v>8542</c:v>
                </c:pt>
                <c:pt idx="25">
                  <c:v>8841</c:v>
                </c:pt>
                <c:pt idx="26">
                  <c:v>6873</c:v>
                </c:pt>
                <c:pt idx="27">
                  <c:v>6908</c:v>
                </c:pt>
                <c:pt idx="28">
                  <c:v>6123</c:v>
                </c:pt>
                <c:pt idx="29">
                  <c:v>5859</c:v>
                </c:pt>
                <c:pt idx="30">
                  <c:v>5400</c:v>
                </c:pt>
                <c:pt idx="31">
                  <c:v>5437</c:v>
                </c:pt>
                <c:pt idx="32">
                  <c:v>4207</c:v>
                </c:pt>
                <c:pt idx="33">
                  <c:v>4686</c:v>
                </c:pt>
                <c:pt idx="34">
                  <c:v>5782</c:v>
                </c:pt>
                <c:pt idx="35">
                  <c:v>7968</c:v>
                </c:pt>
              </c:numCache>
            </c:numRef>
          </c:val>
          <c:smooth val="0"/>
        </c:ser>
        <c:marker val="1"/>
        <c:axId val="61000001"/>
        <c:axId val="61000002"/>
      </c:lineChart>
      <c:barChart>
        <c:barDir val="col"/>
        <c:grouping val="clustered"/>
        <c:varyColors val="0"/>
        <c:ser>
          <c:idx val="1"/>
          <c:order val="1"/>
          <c:tx>
            <c:strRef>
              <c:f>Sheet1!$C$1</c:f>
              <c:strCache>
                <c:ptCount val="1"/>
                <c:pt idx="0">
                  <c:v>월일조시간(hr)</c:v>
                </c:pt>
              </c:strCache>
            </c:strRef>
          </c:tx>
          <c:spPr>
            <a:solidFill>
              <a:srgbClr val="F2A541">
                <a:alpha val="60000"/>
              </a:srgbClr>
            </a:solidFill>
          </c:spPr>
          <c:invertIfNegative val="0"/>
          <c:cat>
            <c:strRef>
              <c:f>Sheet1!$A$2:$A$37</c:f>
              <c:strCache>
                <c:ptCount val="36"/>
                <c:pt idx="0">
                  <c:v>2023.10</c:v>
                </c:pt>
                <c:pt idx="1">
                  <c:v>2023.11</c:v>
                </c:pt>
                <c:pt idx="2">
                  <c:v>2023.12</c:v>
                </c:pt>
                <c:pt idx="3">
                  <c:v>2024.01</c:v>
                </c:pt>
                <c:pt idx="4">
                  <c:v>2024.02</c:v>
                </c:pt>
                <c:pt idx="5">
                  <c:v>2024.03</c:v>
                </c:pt>
                <c:pt idx="6">
                  <c:v>2024.04</c:v>
                </c:pt>
                <c:pt idx="7">
                  <c:v>2024.05</c:v>
                </c:pt>
                <c:pt idx="8">
                  <c:v>2024.06</c:v>
                </c:pt>
                <c:pt idx="9">
                  <c:v>2024.07</c:v>
                </c:pt>
                <c:pt idx="10">
                  <c:v>2024.08</c:v>
                </c:pt>
                <c:pt idx="11">
                  <c:v>2024.09</c:v>
                </c:pt>
                <c:pt idx="12">
                  <c:v>2024.10</c:v>
                </c:pt>
                <c:pt idx="13">
                  <c:v>2024.11</c:v>
                </c:pt>
                <c:pt idx="14">
                  <c:v>2024.12</c:v>
                </c:pt>
                <c:pt idx="15">
                  <c:v>2025.01</c:v>
                </c:pt>
                <c:pt idx="16">
                  <c:v>2025.02</c:v>
                </c:pt>
                <c:pt idx="17">
                  <c:v>2025.03</c:v>
                </c:pt>
                <c:pt idx="18">
                  <c:v>2025.04</c:v>
                </c:pt>
                <c:pt idx="19">
                  <c:v>2025.05</c:v>
                </c:pt>
                <c:pt idx="20">
                  <c:v>2025.06</c:v>
                </c:pt>
                <c:pt idx="21">
                  <c:v>2025.07</c:v>
                </c:pt>
                <c:pt idx="22">
                  <c:v>2025.08</c:v>
                </c:pt>
                <c:pt idx="23">
                  <c:v>2025.09</c:v>
                </c:pt>
                <c:pt idx="24">
                  <c:v>2025.10</c:v>
                </c:pt>
                <c:pt idx="25">
                  <c:v>2025.11</c:v>
                </c:pt>
                <c:pt idx="26">
                  <c:v>2025.12</c:v>
                </c:pt>
                <c:pt idx="27">
                  <c:v>2026.01</c:v>
                </c:pt>
                <c:pt idx="28">
                  <c:v>2026.02</c:v>
                </c:pt>
                <c:pt idx="29">
                  <c:v>2026.03</c:v>
                </c:pt>
                <c:pt idx="30">
                  <c:v>2026.04</c:v>
                </c:pt>
                <c:pt idx="31">
                  <c:v>2026.05</c:v>
                </c:pt>
                <c:pt idx="32">
                  <c:v>2026.06</c:v>
                </c:pt>
                <c:pt idx="33">
                  <c:v>2026.07</c:v>
                </c:pt>
                <c:pt idx="34">
                  <c:v>2026.08</c:v>
                </c:pt>
                <c:pt idx="35">
                  <c:v>2026.09</c:v>
                </c:pt>
              </c:strCache>
            </c:strRef>
          </c:cat>
          <c:val>
            <c:numRef>
              <c:f>Sheet1!$C$2:$C$37</c:f>
              <c:numCache>
                <c:formatCode>General</c:formatCode>
                <c:ptCount val="36"/>
                <c:pt idx="0">
                  <c:v>227.8</c:v>
                </c:pt>
                <c:pt idx="1">
                  <c:v>167.7</c:v>
                </c:pt>
                <c:pt idx="2">
                  <c:v>141.1</c:v>
                </c:pt>
                <c:pt idx="3">
                  <c:v>144.4</c:v>
                </c:pt>
                <c:pt idx="4">
                  <c:v>103.4</c:v>
                </c:pt>
                <c:pt idx="5">
                  <c:v>212.2</c:v>
                </c:pt>
                <c:pt idx="6">
                  <c:v>211.3</c:v>
                </c:pt>
                <c:pt idx="7">
                  <c:v>283.5</c:v>
                </c:pt>
                <c:pt idx="8">
                  <c:v>270.2</c:v>
                </c:pt>
                <c:pt idx="9">
                  <c:v>124.1</c:v>
                </c:pt>
                <c:pt idx="10">
                  <c:v>241</c:v>
                </c:pt>
                <c:pt idx="11">
                  <c:v>195.6</c:v>
                </c:pt>
                <c:pt idx="12">
                  <c:v>147</c:v>
                </c:pt>
                <c:pt idx="13">
                  <c:v>181.2</c:v>
                </c:pt>
                <c:pt idx="14">
                  <c:v>167.3</c:v>
                </c:pt>
                <c:pt idx="15">
                  <c:v>172.7</c:v>
                </c:pt>
                <c:pt idx="16">
                  <c:v>213.9</c:v>
                </c:pt>
                <c:pt idx="17">
                  <c:v>207.3</c:v>
                </c:pt>
                <c:pt idx="18">
                  <c:v>250.8</c:v>
                </c:pt>
                <c:pt idx="19">
                  <c:v>194.1</c:v>
                </c:pt>
                <c:pt idx="20">
                  <c:v>218.9</c:v>
                </c:pt>
                <c:pt idx="21">
                  <c:v>212.6</c:v>
                </c:pt>
                <c:pt idx="22">
                  <c:v>213.7</c:v>
                </c:pt>
                <c:pt idx="23">
                  <c:v>112.6</c:v>
                </c:pt>
                <c:pt idx="24">
                  <c:v>130.3</c:v>
                </c:pt>
                <c:pt idx="25">
                  <c:v>212.1</c:v>
                </c:pt>
                <c:pt idx="26">
                  <c:v>160.7</c:v>
                </c:pt>
                <c:pt idx="27">
                  <c:v>210.5</c:v>
                </c:pt>
                <c:pt idx="28">
                  <c:v>198.7</c:v>
                </c:pt>
                <c:pt idx="29">
                  <c:v>223.7</c:v>
                </c:pt>
                <c:pt idx="30">
                  <c:v>212.2</c:v>
                </c:pt>
                <c:pt idx="31">
                  <c:v>274.4</c:v>
                </c:pt>
                <c:pt idx="32">
                  <c:v>244.8</c:v>
                </c:pt>
                <c:pt idx="33">
                  <c:v>162.1</c:v>
                </c:pt>
                <c:pt idx="34">
                  <c:v>194.6</c:v>
                </c:pt>
                <c:pt idx="35">
                  <c:v>216.1</c:v>
                </c:pt>
              </c:numCache>
            </c:numRef>
          </c:val>
        </c:ser>
        <c:gapWidth val="60"/>
        <c:axId val="61000003"/>
        <c:axId val="61000004"/>
      </c:barChart>
      <c:catAx>
        <c:axId val="61000001"/>
        <c:scaling>
          <c:orientation val="minMax"/>
        </c:scaling>
        <c:delete val="0"/>
        <c:axPos val="b"/>
        <c:title>
          <c:tx>
            <c:rich>
              <a:bodyPr/>
              <a:lstStyle/>
              <a:p>
                <a:pPr>
                  <a:defRPr sz="800" b="0"/>
                </a:pPr>
                <a:r>
                  <a:rPr lang="ko-KR" sz="800" b="0">
                    <a:latin typeface="맑은 고딕"/>
                    <a:ea typeface="맑은 고딕"/>
                  </a:rPr>
                  <a:t>연월</a:t>
                </a:r>
              </a:p>
            </c:rich>
          </c:tx>
          <c:overlay val="0"/>
        </c:title>
        <c:numFmt formatCode="General" sourceLinked="1"/>
        <c:majorTickMark val="out"/>
        <c:minorTickMark val="none"/>
        <c:tickLblPos val="nextTo"/>
        <c:txPr>
          <a:bodyPr/>
          <a:lstStyle/>
          <a:p>
            <a:pPr>
              <a:defRPr sz="700">
                <a:latin typeface="맑은 고딕"/>
                <a:ea typeface="맑은 고딕"/>
              </a:defRPr>
            </a:pPr>
            <a:endParaRPr lang="ko-KR"/>
          </a:p>
        </c:txPr>
        <c:crossAx val="61000002"/>
        <c:crosses val="autoZero"/>
        <c:auto val="1"/>
        <c:lblAlgn val="ctr"/>
        <c:lblOffset val="100"/>
        <c:noMultiLvlLbl val="0"/>
      </c:catAx>
      <c:valAx>
        <c:axId val="61000002"/>
        <c:scaling>
          <c:orientation val="minMax"/>
        </c:scaling>
        <c:delete val="0"/>
        <c:axPos val="l"/>
        <c:majorGridlines>
          <c:spPr>
            <a:ln w="6350">
              <a:solidFill>
                <a:srgbClr val="D9D9D9"/>
              </a:solidFill>
            </a:ln>
          </c:spPr>
        </c:majorGridlines>
        <c:title>
          <c:tx>
            <c:rich>
              <a:bodyPr rot="-5400000" vert="horz"/>
              <a:lstStyle/>
              <a:p>
                <a:pPr>
                  <a:defRPr sz="800" b="0"/>
                </a:pPr>
                <a:r>
                  <a:rPr lang="ko-KR" sz="800" b="0">
                    <a:latin typeface="맑은 고딕"/>
                    <a:ea typeface="맑은 고딕"/>
                  </a:rPr>
                  <a:t>소매가격(원/kg)</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61000001"/>
        <c:crosses val="autoZero"/>
        <c:crossBetween val="between"/>
      </c:valAx>
      <c:catAx>
        <c:axId val="61000003"/>
        <c:scaling>
          <c:orientation val="minMax"/>
        </c:scaling>
        <c:delete val="1"/>
        <c:axPos val="b"/>
        <c:numFmt formatCode="General" sourceLinked="1"/>
        <c:majorTickMark val="out"/>
        <c:minorTickMark val="none"/>
        <c:tickLblPos val="nextTo"/>
        <c:txPr>
          <a:bodyPr/>
          <a:lstStyle/>
          <a:p>
            <a:pPr>
              <a:defRPr sz="700">
                <a:latin typeface="맑은 고딕"/>
                <a:ea typeface="맑은 고딕"/>
              </a:defRPr>
            </a:pPr>
            <a:endParaRPr lang="ko-KR"/>
          </a:p>
        </c:txPr>
        <c:crossAx val="61000004"/>
        <c:crosses val="autoZero"/>
        <c:auto val="1"/>
        <c:lblAlgn val="ctr"/>
        <c:lblOffset val="100"/>
        <c:noMultiLvlLbl val="0"/>
      </c:catAx>
      <c:valAx>
        <c:axId val="61000004"/>
        <c:scaling>
          <c:orientation val="minMax"/>
        </c:scaling>
        <c:delete val="0"/>
        <c:axPos val="r"/>
        <c:title>
          <c:tx>
            <c:rich>
              <a:bodyPr rot="-5400000" vert="horz"/>
              <a:lstStyle/>
              <a:p>
                <a:pPr>
                  <a:defRPr sz="800" b="0"/>
                </a:pPr>
                <a:r>
                  <a:rPr lang="ko-KR" sz="800" b="0">
                    <a:latin typeface="맑은 고딕"/>
                    <a:ea typeface="맑은 고딕"/>
                  </a:rPr>
                  <a:t>월일조시간(hr)</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61000003"/>
        <c:crosses val="max"/>
        <c:crossBetween val="between"/>
      </c:valAx>
    </c:plotArea>
    <c:legend>
      <c:legendPos val="b"/>
      <c:overlay val="0"/>
      <c:txPr>
        <a:bodyPr/>
        <a:lstStyle/>
        <a:p>
          <a:pPr>
            <a:defRPr sz="800">
              <a:latin typeface="맑은 고딕"/>
              <a:ea typeface="맑은 고딕"/>
            </a:defRPr>
          </a:pPr>
          <a:endParaRPr lang="ko-KR"/>
        </a:p>
      </c:txPr>
    </c:legend>
    <c:plotVisOnly val="1"/>
    <c:dispBlanksAs val="gap"/>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