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autoSpaceDE w:val="0"/>
        <w:snapToGrid w:val="0"/>
        <w:spacing w:before="0" w:after="0" w:line="384" w:lineRule="auto"/>
        <w:ind w:left="0" w:right="0" w:firstLine="0"/>
        <w:jc w:val="center"/>
        <w:textAlignment w:val="baseline"/>
        <w:rPr>
          <w:rFonts w:ascii="HY헤드라인M" w:hAnsi="HY헤드라인M" w:eastAsia="HY헤드라인M" w:cs="Times New Roman"/>
          <w:b w:val="0"/>
          <w:bCs w:val="0"/>
          <w:i w:val="0"/>
          <w:color w:val="000000"/>
          <w:kern w:val="2"/>
          <w:sz w:val="40"/>
          <w:szCs w:val="22"/>
        </w:rPr>
      </w:pPr>
      <w:r>
        <w:rPr>
          <w:rFonts w:ascii="HY헤드라인M" w:hAnsi="HY헤드라인M" w:eastAsia="HY헤드라인M" w:cs="Times New Roman"/>
          <w:b w:val="0"/>
          <w:bCs w:val="0"/>
          <w:i w:val="0"/>
          <w:color w:val="000000"/>
          <w:kern w:val="2"/>
          <w:sz w:val="40"/>
          <w:szCs w:val="22"/>
        </w:rPr>
        <w:t xml:space="preserve">2026  </w:t>
      </w:r>
      <w:r>
        <w:rPr>
          <w:rFonts w:ascii="HY헤드라인M" w:hAnsi="HY헤드라인M" w:eastAsia="HY헤드라인M" w:cs="Times New Roman"/>
          <w:b w:val="0"/>
          <w:bCs w:val="0"/>
          <w:i w:val="0"/>
          <w:color w:val="000000"/>
          <w:kern w:val="2"/>
          <w:sz w:val="40"/>
          <w:szCs w:val="22"/>
        </w:rPr>
        <w:t xml:space="preserve">학년도  2학기 </w:t>
      </w:r>
      <w:r>
        <w:rPr>
          <w:rFonts w:ascii="HY헤드라인M" w:hAnsi="HY헤드라인M" w:eastAsia="HY헤드라인M" w:cs="Times New Roman"/>
          <w:b w:val="0"/>
          <w:bCs w:val="0"/>
          <w:i w:val="0"/>
          <w:color w:val="000000"/>
          <w:kern w:val="2"/>
          <w:sz w:val="40"/>
          <w:szCs w:val="22"/>
        </w:rPr>
        <w:t xml:space="preserve">중간과제물</w:t>
      </w:r>
      <w:r>
        <w:rPr>
          <w:rFonts w:ascii="HY헤드라인M" w:hAnsi="HY헤드라인M" w:eastAsia="HY헤드라인M" w:cs="Times New Roman"/>
          <w:b w:val="0"/>
          <w:bCs w:val="0"/>
          <w:i w:val="0"/>
          <w:color w:val="000000"/>
          <w:kern w:val="2"/>
          <w:sz w:val="40"/>
          <w:szCs w:val="22"/>
        </w:rPr>
        <w:t xml:space="preserve">(</w:t>
      </w:r>
      <w:r>
        <w:rPr>
          <w:rFonts w:ascii="HY헤드라인M" w:hAnsi="HY헤드라인M" w:eastAsia="HY헤드라인M" w:cs="Times New Roman"/>
          <w:b w:val="0"/>
          <w:bCs w:val="0"/>
          <w:i w:val="0"/>
          <w:color w:val="000000"/>
          <w:kern w:val="2"/>
          <w:sz w:val="40"/>
          <w:szCs w:val="22"/>
        </w:rPr>
        <w:t xml:space="preserve">온라인 제출용</w:t>
      </w:r>
      <w:r>
        <w:rPr>
          <w:rFonts w:ascii="HY헤드라인M" w:hAnsi="HY헤드라인M" w:eastAsia="HY헤드라인M" w:cs="Times New Roman"/>
          <w:b w:val="0"/>
          <w:bCs w:val="0"/>
          <w:i w:val="0"/>
          <w:color w:val="000000"/>
          <w:kern w:val="2"/>
          <w:sz w:val="40"/>
          <w:szCs w:val="22"/>
        </w:rPr>
        <w:t xml:space="preserve">)</w:t>
      </w:r>
    </w:p>
    <w:tbl>
      <w:tblPr>
        <w:tblW w:w="9520" w:type="dxa"/>
        <w:jc w:val="left"/>
        <w:tblInd w:w="102" w:type="dxa"/>
        <w:tblBorders>
          <w:top w:val="nil"/>
          <w:left w:val="nil"/>
          <w:bottom w:val="nil"/>
          <w:right w:val="nil"/>
          <w:insideH w:val="nil"/>
          <w:insideV w:val="nil"/>
        </w:tblBorders>
        <w:tblLayout w:type="fixed"/>
        <w:tblCellMar>
          <w:top w:w="28" w:type="dxa"/>
          <w:left w:w="102" w:type="dxa"/>
          <w:bottom w:w="28" w:type="dxa"/>
          <w:right w:w="102" w:type="dxa"/>
        </w:tblCellMar>
        <w:tblLook w:val="0000" w:firstRow="0" w:lastRow="0" w:firstColumn="0" w:lastColumn="0" w:noHBand="0" w:noVBand="0"/>
      </w:tblPr>
      <w:tblGrid>
        <w:gridCol w:w="427"/>
        <w:gridCol w:w="1549"/>
        <w:gridCol w:w="259"/>
        <w:gridCol w:w="7285"/>
      </w:tblGrid>
      <w:tr>
        <w:trPr>
          <w:trHeight w:val="266" w:hRule="atLeast"/>
        </w:trPr>
        <w:tc>
          <w:tcPr>
            <w:tcW w:w="427" w:type="dxa"/>
            <w:tcBorders>
              <w:top w:val="single" w:sz="2" w:space="0" w:color="000000"/>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top w:val="single" w:sz="2" w:space="0" w:color="000000"/>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교과목명</w:t>
            </w:r>
          </w:p>
        </w:tc>
        <w:tc>
          <w:tcPr>
            <w:tcW w:w="259" w:type="dxa"/>
            <w:tcBorders>
              <w:top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top w:val="single" w:sz="2" w:space="0" w:color="000000"/>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환경친화형농업</w:t>
            </w:r>
          </w:p>
        </w:tc>
      </w:tr>
      <w:tr>
        <w:trPr>
          <w:trHeight w:val="266" w:hRule="atLeast"/>
        </w:trPr>
        <w:tc>
          <w:tcPr>
            <w:tcW w:w="427" w:type="dxa"/>
            <w:tcBorders>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학번</w:t>
            </w:r>
          </w:p>
        </w:tc>
        <w:tc>
          <w:tcPr>
            <w:tcW w:w="259" w:type="dxa"/>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202631-348563</w:t>
            </w:r>
          </w:p>
        </w:tc>
      </w:tr>
      <w:tr>
        <w:trPr>
          <w:trHeight w:val="266" w:hRule="atLeast"/>
        </w:trPr>
        <w:tc>
          <w:tcPr>
            <w:tcW w:w="427" w:type="dxa"/>
            <w:tcBorders>
              <w:lef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성명</w:t>
            </w:r>
          </w:p>
        </w:tc>
        <w:tc>
          <w:tcPr>
            <w:tcW w:w="259" w:type="dxa"/>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r>
              <w:rPr>
                <w:rFonts w:ascii="맑은 고딕" w:hAnsi="맑은 고딕" w:eastAsia="맑은 고딕" w:cs="Times New Roman"/>
                <w:b w:val="0"/>
                <w:bCs w:val="0"/>
                <w:i w:val="0"/>
                <w:color w:val="000000"/>
                <w:kern w:val="2"/>
                <w:sz w:val="24"/>
                <w:szCs w:val="22"/>
              </w:rPr>
              <w:t xml:space="preserve">임성렬</w:t>
            </w:r>
          </w:p>
        </w:tc>
      </w:tr>
      <w:tr>
        <w:trPr>
          <w:trHeight w:val="266" w:hRule="atLeast"/>
        </w:trPr>
        <w:tc>
          <w:tcPr>
            <w:tcW w:w="427" w:type="dxa"/>
            <w:tcBorders>
              <w:left w:val="single" w:sz="2" w:space="0" w:color="000000"/>
              <w:bottom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바탕" w:hAnsi="바탕" w:eastAsia="바탕" w:cs="Times New Roman"/>
                <w:b w:val="0"/>
                <w:bCs w:val="0"/>
                <w:i w:val="0"/>
                <w:color w:val="000000"/>
                <w:kern w:val="2"/>
                <w:sz w:val="24"/>
                <w:szCs w:val="22"/>
              </w:rPr>
            </w:pPr>
            <w:r>
              <w:rPr>
                <w:rFonts w:ascii="바탕" w:hAnsi="바탕" w:eastAsia="바탕" w:cs="Times New Roman"/>
                <w:b w:val="0"/>
                <w:bCs w:val="0"/>
                <w:i w:val="0"/>
                <w:color w:val="000000"/>
                <w:kern w:val="2"/>
                <w:sz w:val="24"/>
                <w:szCs w:val="22"/>
              </w:rPr>
              <w:t xml:space="preserve"></w:t>
            </w:r>
          </w:p>
        </w:tc>
        <w:tc>
          <w:tcPr>
            <w:tcW w:w="1549" w:type="dxa"/>
            <w:tcBorders>
              <w:bottom w:val="single" w:sz="2" w:space="0" w:color="000000"/>
            </w:tcBorders>
            <w:vAlign w:val="center"/>
          </w:tcPr>
          <w:p>
            <w:pPr>
              <w:widowControl w:val="0"/>
              <w:autoSpaceDE w:val="0"/>
              <w:snapToGrid w:val="0"/>
              <w:spacing w:before="0" w:after="0" w:line="240" w:lineRule="auto"/>
              <w:ind w:left="0" w:right="0" w:firstLine="0"/>
              <w:jc w:val="distribute"/>
              <w:textAlignment w:val="baseline"/>
              <w:rPr>
                <w:rFonts w:ascii="바탕" w:hAnsi="바탕" w:eastAsia="맑은 고딕" w:cs="Times New Roman"/>
                <w:b/>
                <w:bCs w:val="0"/>
                <w:i w:val="0"/>
                <w:color w:val="000000"/>
                <w:kern w:val="2"/>
                <w:sz w:val="24"/>
                <w:szCs w:val="22"/>
              </w:rPr>
            </w:pPr>
            <w:r>
              <w:rPr>
                <w:rFonts w:ascii="바탕" w:hAnsi="바탕" w:eastAsia="맑은 고딕" w:cs="Times New Roman"/>
                <w:b/>
                <w:bCs w:val="0"/>
                <w:i w:val="0"/>
                <w:color w:val="000000"/>
                <w:kern w:val="2"/>
                <w:sz w:val="24"/>
                <w:szCs w:val="22"/>
              </w:rPr>
              <w:t xml:space="preserve">연락처</w:t>
            </w:r>
          </w:p>
        </w:tc>
        <w:tc>
          <w:tcPr>
            <w:tcW w:w="259" w:type="dxa"/>
            <w:tcBorders>
              <w:bottom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바탕" w:cs="Times New Roman"/>
                <w:b w:val="0"/>
                <w:bCs w:val="0"/>
                <w:i w:val="0"/>
                <w:color w:val="000000"/>
                <w:kern w:val="2"/>
                <w:sz w:val="24"/>
                <w:szCs w:val="22"/>
              </w:rPr>
            </w:pPr>
            <w:r>
              <w:rPr>
                <w:rFonts w:ascii="맑은 고딕" w:hAnsi="맑은 고딕" w:eastAsia="바탕" w:cs="Times New Roman"/>
                <w:b w:val="0"/>
                <w:bCs w:val="0"/>
                <w:i w:val="0"/>
                <w:color w:val="000000"/>
                <w:kern w:val="2"/>
                <w:sz w:val="24"/>
                <w:szCs w:val="22"/>
              </w:rPr>
              <w:t xml:space="preserve">:</w:t>
            </w:r>
          </w:p>
        </w:tc>
        <w:tc>
          <w:tcPr>
            <w:tcW w:w="7285" w:type="dxa"/>
            <w:tcBorders>
              <w:bottom w:val="single" w:sz="2" w:space="0" w:color="000000"/>
              <w:right w:val="single" w:sz="2" w:space="0" w:color="000000"/>
            </w:tcBorders>
            <w:vAlign w:val="center"/>
          </w:tcPr>
          <w:p>
            <w:pPr>
              <w:widowControl w:val="0"/>
              <w:autoSpaceDE w:val="0"/>
              <w:snapToGrid w:val="0"/>
              <w:spacing w:before="0" w:after="0" w:line="240" w:lineRule="auto"/>
              <w:ind w:left="0" w:right="0" w:firstLine="0"/>
              <w:jc w:val="both"/>
              <w:textAlignment w:val="baseline"/>
              <w:rPr>
                <w:rFonts w:ascii="맑은 고딕" w:hAnsi="맑은 고딕" w:eastAsia="맑은 고딕" w:cs="Times New Roman"/>
                <w:b w:val="0"/>
                <w:bCs w:val="0"/>
                <w:i w:val="0"/>
                <w:color w:val="000000"/>
                <w:kern w:val="2"/>
                <w:sz w:val="24"/>
                <w:szCs w:val="22"/>
              </w:rPr>
            </w:pPr>
          </w:p>
        </w:tc>
      </w:tr>
    </w:tbl>
    <w:p>
      <w:pPr>
        <w:widowControl w:val="0"/>
        <w:autoSpaceDE w:val="0"/>
        <w:snapToGrid w:val="0"/>
        <w:spacing w:before="0" w:after="0" w:line="384" w:lineRule="auto"/>
        <w:ind w:left="0" w:right="0" w:firstLine="0"/>
        <w:jc w:val="both"/>
        <w:textAlignment w:val="baseline"/>
        <w:rPr>
          <w:rFonts w:ascii="맑은 고딕" w:hAnsi="맑은 고딕" w:eastAsia="맑은 고딕" w:cs="Times New Roman"/>
          <w:b w:val="0"/>
          <w:bCs w:val="0"/>
          <w:i w:val="0"/>
          <w:color w:val="000000"/>
          <w:spacing w:val="-5"/>
          <w:kern w:val="2"/>
          <w:sz w:val="20"/>
          <w:szCs w:val="20"/>
        </w:rPr>
      </w:pPr>
      <w:r xmlns:a="http://schemas.openxmlformats.org/drawingml/2006/main" xmlns:pic="http://schemas.openxmlformats.org/drawingml/2006/picture">
        <w:drawing>
          <wp:anchor behindDoc="0" distT="0" distB="0" distL="114935" distR="114935" simplePos="0" locked="0" layoutInCell="0" allowOverlap="1" relativeHeight="2">
            <wp:simplePos x="0" y="0"/>
            <wp:positionH relativeFrom="column">
              <wp:posOffset>3810</wp:posOffset>
            </wp:positionH>
            <wp:positionV relativeFrom="line">
              <wp:posOffset>424815</wp:posOffset>
            </wp:positionV>
            <wp:extent cx="6120130" cy="144145"/>
            <wp:effectExtent l="0" t="0" r="0" b="0"/>
            <wp:wrapTopAndBottom/>
            <wp:docPr id="1" name="그림 1"/>
            <wp:cNvGraphicFramePr>
              <a:graphicFrameLocks noChangeAspect="1"/>
            </wp:cNvGraphicFramePr>
            <a:graphic>
              <a:graphicData uri="http://schemas.openxmlformats.org/drawingml/2006/picture">
                <pic:pic>
                  <pic:nvPicPr>
                    <pic:cNvPr id="1" name="그림 1"/>
                    <pic:cNvPicPr>
                      <a:picLocks noChangeAspect="1" noChangeArrowheads="1"/>
                    </pic:cNvPicPr>
                  </pic:nvPicPr>
                  <pic:blipFill>
                    <a:blip r:embed="rId9"/>
                    <a:stretch>
                      <a:fillRect/>
                    </a:stretch>
                  </pic:blipFill>
                  <pic:spPr bwMode="auto">
                    <a:xfrm>
                      <a:off x="0" y="0"/>
                      <a:ext cx="6120130" cy="144145"/>
                    </a:xfrm>
                    <a:prstGeom prst="rect">
                      <a:avLst/>
                    </a:prstGeom>
                  </pic:spPr>
                </pic:pic>
              </a:graphicData>
            </a:graphic>
          </wp:anchor>
        </w:drawing>
      </w:r>
      <w:r>
        <w:rPr>
          <w:rFonts w:ascii="맑은 고딕" w:hAnsi="맑은 고딕" w:eastAsia="맑은 고딕" w:cs="맑은 고딕"/>
          <w:b w:val="0"/>
          <w:bCs w:val="0"/>
          <w:i w:val="0"/>
          <w:color w:val="000000"/>
          <w:spacing w:val="-5"/>
          <w:kern w:val="2"/>
          <w:sz w:val="20"/>
          <w:szCs w:val="20"/>
        </w:rPr>
        <w:t xml:space="preserve"> </w:t>
      </w:r>
      <w:r>
        <w:rPr>
          <w:rFonts w:ascii="맑은 고딕" w:hAnsi="맑은 고딕" w:eastAsia="바탕" w:cs="Times New Roman"/>
          <w:b w:val="0"/>
          <w:bCs w:val="0"/>
          <w:i w:val="0"/>
          <w:color w:val="000000"/>
          <w:spacing w:val="-5"/>
          <w:kern w:val="2"/>
          <w:sz w:val="20"/>
          <w:szCs w:val="20"/>
        </w:rPr>
        <w:t xml:space="preserve">※</w:t>
      </w:r>
      <w:r>
        <w:rPr>
          <w:rFonts w:ascii="맑은 고딕" w:hAnsi="맑은 고딕" w:eastAsia="맑은 고딕" w:cs="맑은 고딕"/>
          <w:b w:val="0"/>
          <w:bCs w:val="0"/>
          <w:i w:val="0"/>
          <w:color w:val="000000"/>
          <w:spacing w:val="-5"/>
          <w:kern w:val="2"/>
          <w:sz w:val="20"/>
          <w:szCs w:val="20"/>
        </w:rPr>
        <w:t xml:space="preserve"> </w:t>
      </w:r>
      <w:r>
        <w:rPr>
          <w:rFonts w:ascii="맑은 고딕" w:hAnsi="맑은 고딕" w:eastAsia="맑은 고딕" w:cs="Times New Roman"/>
          <w:b w:val="0"/>
          <w:bCs w:val="0"/>
          <w:i w:val="0"/>
          <w:color w:val="000000"/>
          <w:spacing w:val="-5"/>
          <w:kern w:val="2"/>
          <w:sz w:val="20"/>
          <w:szCs w:val="20"/>
        </w:rPr>
        <w:t xml:space="preserve">A4</w:t>
      </w:r>
      <w:r>
        <w:rPr>
          <w:rFonts w:ascii="맑은 고딕" w:hAnsi="맑은 고딕" w:eastAsia="맑은 고딕" w:cs="Times New Roman"/>
          <w:b w:val="0"/>
          <w:bCs w:val="0"/>
          <w:i w:val="0"/>
          <w:color w:val="000000"/>
          <w:spacing w:val="-5"/>
          <w:kern w:val="2"/>
          <w:sz w:val="20"/>
          <w:szCs w:val="20"/>
        </w:rPr>
        <w:t xml:space="preserve">용지 편집 사용</w:t>
      </w:r>
    </w:p>
    <w:p>
      <w:pPr>
        <w:widowControl w:val="0"/>
        <w:autoSpaceDE w:val="0"/>
        <w:snapToGrid w:val="0"/>
        <w:spacing w:before="0" w:after="0" w:line="240" w:lineRule="auto"/>
        <w:ind w:left="0" w:right="0" w:firstLine="0"/>
        <w:jc w:val="both"/>
        <w:textAlignment w:val="baseline"/>
        <w:rPr>
          <w:rFonts w:ascii="맑은 고딕" w:hAnsi="맑은 고딕" w:eastAsia="맑은 고딕" w:cs="맑은 고딕"/>
          <w:b w:val="0"/>
          <w:bCs w:val="0"/>
          <w:i w:val="0"/>
          <w:strike/>
          <w:color w:val="000000"/>
          <w:spacing w:val="-5"/>
          <w:kern w:val="2"/>
          <w:sz w:val="24"/>
          <w:szCs w:val="24"/>
        </w:rPr>
      </w:pPr>
      <w:r>
        <w:rPr>
          <w:rFonts w:ascii="맑은 고딕" w:hAnsi="맑은 고딕" w:eastAsia="맑은 고딕" w:cs="맑은 고딕"/>
          <w:b w:val="0"/>
          <w:bCs w:val="0"/>
          <w:i w:val="0"/>
          <w:strike/>
          <w:color w:val="000000"/>
          <w:spacing w:val="-5"/>
          <w:kern w:val="2"/>
          <w:sz w:val="24"/>
          <w:szCs w:val="24"/>
        </w:rPr>
        <w:t xml:space="preserve">                                                                                        </w:t>
      </w:r>
    </w:p>
    <w:p>
      <w:pPr>
        <w:widowControl w:val="0"/>
        <w:autoSpaceDE w:val="0"/>
        <w:snapToGrid w:val="0"/>
        <w:spacing w:before="0" w:after="0" w:line="384" w:lineRule="auto"/>
        <w:ind w:left="0" w:right="0" w:firstLine="0"/>
        <w:jc w:val="both"/>
        <w:textAlignment w:val="baseline"/>
        <w:rPr>
          <w:rFonts w:ascii="맑은 고딕" w:hAnsi="맑은 고딕" w:eastAsia="맑은 고딕" w:cs="Times New Roman"/>
          <w:b w:val="0"/>
          <w:bCs w:val="0"/>
          <w:i w:val="0"/>
          <w:color w:val="000000"/>
          <w:spacing w:val="-5"/>
          <w:kern w:val="2"/>
          <w:sz w:val="24"/>
          <w:szCs w:val="24"/>
        </w:rPr>
        <w:sectPr>
          <w:pgSz w:w="11906" w:h="16838"/>
          <w:pgMar w:top="1984" w:right="1134" w:bottom="1700" w:left="1134" w:header="1134" w:footer="850" w:gutter="0"/>
          <w:cols w:space="720"/>
        </w:sectPr>
      </w:pPr>
      <w:r>
        <w:rPr>
          <w:rFonts w:ascii="맑은 고딕" w:hAnsi="맑은 고딕" w:eastAsia="맑은 고딕" w:cs="Times New Roman"/>
          <w:b w:val="0"/>
          <w:bCs w:val="0"/>
          <w:i w:val="0"/>
          <w:color w:val="000000"/>
          <w:spacing w:val="-5"/>
          <w:kern w:val="2"/>
          <w:sz w:val="24"/>
          <w:szCs w:val="24"/>
        </w:rPr>
        <w:t xml:space="preserve">- </w:t>
      </w:r>
      <w:r>
        <w:rPr>
          <w:rFonts w:ascii="맑은 고딕" w:hAnsi="맑은 고딕" w:eastAsia="맑은 고딕" w:cs="Times New Roman"/>
          <w:b w:val="0"/>
          <w:bCs w:val="0"/>
          <w:i w:val="0"/>
          <w:color w:val="000000"/>
          <w:spacing w:val="-5"/>
          <w:kern w:val="2"/>
          <w:sz w:val="24"/>
          <w:szCs w:val="24"/>
        </w:rPr>
        <w:t xml:space="preserve">이하 작성  </w:t>
      </w:r>
    </w:p>
    <w:p>
      <w:pPr>
        <w:spacing w:after="160" w:before="0"/>
        <w:jc w:val="center"/>
      </w:pPr>
      <w:r>
        <w:rPr>
          <w:b/>
          <w:sz w:val="26"/>
        </w:rPr>
        <w:t>디지털 농업, 스마트 농업, 정밀 농업의 이해와 최근 적용 기술</w:t>
      </w:r>
    </w:p>
    <w:p>
      <w:pPr>
        <w:spacing w:after="40" w:before="40"/>
        <w:jc w:val="left"/>
      </w:pPr>
      <w:r>
        <w:rPr>
          <w:b/>
          <w:sz w:val="24"/>
        </w:rPr>
        <w:t>목  차</w:t>
      </w:r>
    </w:p>
    <w:p>
      <w:pPr>
        <w:spacing w:after="0" w:before="0"/>
        <w:jc w:val="left"/>
      </w:pPr>
      <w:r>
        <w:rPr>
          <w:b w:val="0"/>
        </w:rPr>
        <w:t>Ⅰ. 서론</w:t>
      </w:r>
    </w:p>
    <w:p>
      <w:pPr>
        <w:spacing w:after="0" w:before="0"/>
        <w:jc w:val="left"/>
      </w:pPr>
      <w:r>
        <w:rPr>
          <w:b w:val="0"/>
        </w:rPr>
        <w:t>Ⅱ. 본론</w:t>
      </w:r>
    </w:p>
    <w:p>
      <w:pPr>
        <w:spacing w:after="0" w:before="0"/>
        <w:ind w:left="360"/>
        <w:jc w:val="left"/>
      </w:pPr>
      <w:r>
        <w:rPr>
          <w:b w:val="0"/>
        </w:rPr>
        <w:t>1. 디지털 농업, 스마트 농업, 정밀 농업의 개념</w:t>
      </w:r>
    </w:p>
    <w:p>
      <w:pPr>
        <w:spacing w:after="0" w:before="0"/>
        <w:ind w:left="360"/>
        <w:jc w:val="left"/>
      </w:pPr>
      <w:r>
        <w:rPr>
          <w:b w:val="0"/>
        </w:rPr>
        <w:t>2. 최근 적용되고 있는 농업기술</w:t>
      </w:r>
    </w:p>
    <w:p>
      <w:pPr>
        <w:spacing w:after="0" w:before="0"/>
        <w:ind w:left="360"/>
        <w:jc w:val="left"/>
      </w:pPr>
      <w:r>
        <w:rPr>
          <w:b w:val="0"/>
        </w:rPr>
        <w:t>3. 기술보다 먼저 봐야 할 것: 비용, 격차, 유통</w:t>
      </w:r>
    </w:p>
    <w:p>
      <w:pPr>
        <w:spacing w:after="0" w:before="0"/>
        <w:jc w:val="left"/>
      </w:pPr>
      <w:r>
        <w:rPr>
          <w:b w:val="0"/>
        </w:rPr>
        <w:t>Ⅲ. 결론</w:t>
      </w:r>
    </w:p>
    <w:p>
      <w:pPr>
        <w:spacing w:after="0" w:before="0"/>
        <w:jc w:val="left"/>
      </w:pPr>
      <w:r>
        <w:rPr>
          <w:b w:val="0"/>
        </w:rPr>
        <w:t>참고문헌</w:t>
      </w:r>
    </w:p>
    <w:p>
      <w:pPr>
        <w:spacing w:after="0" w:before="0"/>
        <w:jc w:val="both"/>
      </w:pPr>
      <w:r>
        <w:rPr>
          <w:b w:val="0"/>
        </w:rPr>
      </w:r>
    </w:p>
    <w:p>
      <w:pPr>
        <w:keepNext/>
        <w:spacing w:after="60" w:before="160"/>
        <w:jc w:val="left"/>
      </w:pPr>
      <w:r>
        <w:rPr>
          <w:b/>
          <w:sz w:val="24"/>
        </w:rPr>
        <w:t>Ⅰ. 서론</w:t>
      </w:r>
    </w:p>
    <w:p>
      <w:pPr>
        <w:spacing w:after="20" w:before="0"/>
        <w:ind w:firstLine="220"/>
        <w:jc w:val="both"/>
      </w:pPr>
      <w:r>
        <w:rPr>
          <w:b w:val="0"/>
        </w:rPr>
        <w:t>저는 방송대 농학과에 입학하기 전부터 토마토 스마트팜 창업을 준비했습니다. SNS 마케팅 프리랜서로 일했던 경험을 살려 제가 직접 재배한 농산물을 직접 알리고 판매해 보고 싶었기 때문입니다. 그 과정에서 스마트팜의 온도와 습도, 양액 데이터를 확인하고 분석하는 방법도 어느 정도 익히게 되었습니다. 처음 스마트팜이라는 말을 접했을 때에는 비용에 대한 걱정이 크지 않았습니다. 센서가 농장 환경을 자동으로 조절하고 스마트폰을 통해 하우스의 상태를 확인할 수 있다는 점이 신기했고, 농업기술이 이만큼 발전했다는 사실이 먼저 인상적으로 다가왔습니다.</w:t>
      </w:r>
    </w:p>
    <w:p>
      <w:pPr>
        <w:spacing w:after="20" w:before="0"/>
        <w:ind w:firstLine="220"/>
        <w:jc w:val="both"/>
      </w:pPr>
      <w:r>
        <w:rPr>
          <w:b w:val="0"/>
        </w:rPr>
        <w:t>그러나 창업을 구체적으로 준비하면서 생각이 달라졌습니다. 시설비와 대출, 판로 등을 하나씩 따져 보니 기술이 우수하다는 것과 그 기술을 활용하여 실제로 농사를 짓고 생계를 유지하는 것은 전혀 다른 문제라는 사실을 알게 되었기 때문입니다. 이에 이번 과제에서는 디지털 농업, 스마트 농업, 정밀 농업의 개념을 정리하고, 최근 실제 농업 현장에 적용되고 있는 기술을 조사해 보았습니다. 또한 제가 스마트팜 창업을 준비하면서 직접 경험한 내용을 바탕으로 이러한 기술이 누구에게, 어떠한 조건에서 실질적인 도움이 될 수 있는지도 함께 살펴보고자 합니다.</w:t>
      </w:r>
    </w:p>
    <w:p>
      <w:pPr>
        <w:keepNext/>
        <w:spacing w:after="60" w:before="160"/>
        <w:jc w:val="left"/>
      </w:pPr>
      <w:r>
        <w:rPr>
          <w:b/>
          <w:sz w:val="24"/>
        </w:rPr>
        <w:t>Ⅱ. 본론</w:t>
      </w:r>
    </w:p>
    <w:p>
      <w:pPr>
        <w:keepNext/>
        <w:spacing w:after="60" w:before="80"/>
        <w:jc w:val="left"/>
      </w:pPr>
      <w:r>
        <w:rPr>
          <w:b/>
        </w:rPr>
        <w:t>1. 디지털 농업, 스마트 농업, 정밀 농업의 개념</w:t>
      </w:r>
    </w:p>
    <w:p>
      <w:pPr>
        <w:keepNext/>
        <w:spacing w:after="20" w:before="40"/>
        <w:jc w:val="left"/>
      </w:pPr>
      <w:r>
        <w:rPr>
          <w:b/>
        </w:rPr>
        <w:t>1) 정밀 농업</w:t>
      </w:r>
    </w:p>
    <w:p>
      <w:pPr>
        <w:spacing w:after="20" w:before="0"/>
        <w:ind w:firstLine="220"/>
        <w:jc w:val="both"/>
      </w:pPr>
      <w:r>
        <w:rPr>
          <w:b w:val="0"/>
        </w:rPr>
        <w:t>정밀 농업은 같은 농경지 안에서도 위치에 따라 토양과 작물의 상태가 서로 다를 수 있다는 점에서 출발합니다. 과거에는 농경지 전체에 비료나 농약을 동일한 양으로 살포하는 경우가 많았지만, 정밀 농업에서는 GPS와 센서, 드론 및 위성 영상 등을 활용하여 위치별 상태를 측정한 뒤 필요한 곳에 필요한 양만 투입합니다. 이처럼 농경지의 위치와 상태에 따라 비료의 양을 다르게 투입하는 것을 변량시비라고 합니다.</w:t>
      </w:r>
    </w:p>
    <w:p>
      <w:pPr>
        <w:spacing w:after="20" w:before="0"/>
        <w:ind w:firstLine="220"/>
        <w:jc w:val="both"/>
      </w:pPr>
      <w:r>
        <w:rPr>
          <w:b w:val="0"/>
        </w:rPr>
        <w:t>필요한 곳에 필요한 만큼의 비료와 농약을 사용하게 되면 불필요한 투입량을 줄일 수 있습니다. 이에 따라 토양과 수계로 유입되는 오염 물질도 감소할 수 있으므로, 정밀 농업은 생산성을 높이는 동시에 환경 부담을 줄일 수 있는 농업 방식이라고 할 수 있습니다.</w:t>
      </w:r>
    </w:p>
    <w:p>
      <w:pPr>
        <w:keepNext/>
        <w:spacing w:after="20" w:before="40"/>
        <w:jc w:val="left"/>
      </w:pPr>
      <w:r>
        <w:rPr>
          <w:b/>
        </w:rPr>
        <w:t>2) 스마트 농업</w:t>
      </w:r>
    </w:p>
    <w:p>
      <w:pPr>
        <w:spacing w:after="20" w:before="0"/>
        <w:ind w:firstLine="220"/>
        <w:jc w:val="both"/>
      </w:pPr>
      <w:r>
        <w:rPr>
          <w:b w:val="0"/>
        </w:rPr>
        <w:t>스마트 농업은 「스마트농업 육성 및 지원에 관한 법률」에서 “농업의 생산성·품질 향상과 경영비·노동비 절감 등을 위하여 농업 분야에 정보통신기술 등 첨단기술을 접목한 농업”으로 정의하고 있습니다(제2조). 흔히 말하는 스마트팜이 대표적인 사례이며, 온실 내부의 온도와 습도, 이산화탄소 농도, 양액 공급 등을 센서와 제어기를 통해 자동으로 관리하고 농민은 원격으로 스마트폰을 이용하여 시설의 상태를 확인할 수 있습니다.</w:t>
      </w:r>
    </w:p>
    <w:p>
      <w:pPr>
        <w:spacing w:after="20" w:before="0"/>
        <w:ind w:firstLine="220"/>
        <w:jc w:val="both"/>
      </w:pPr>
      <w:r>
        <w:rPr>
          <w:b w:val="0"/>
        </w:rPr>
        <w:t>같은 법에서는 스마트농업의 목적을 농업의 자동화·정밀화·무인화 촉진으로 제시하고 있습니다(제1조). 저는 이 세 가지가 스마트 농업이 앞으로 나아가고자 하는 방향을 잘 보여 주는 표현이라고 생각합니다. 단순히 농사에 기계를 사용하는 것을 넘어 데이터를 수집하고 이를 바탕으로 농업인의 판단과 작업을 보조하거나 일부 작업을 자동화하는 것이 스마트 농업의 중요한 특징이라고 볼 수 있습니다.</w:t>
      </w:r>
    </w:p>
    <w:p>
      <w:pPr>
        <w:keepNext/>
        <w:spacing w:after="20" w:before="40"/>
        <w:jc w:val="left"/>
      </w:pPr>
      <w:r>
        <w:rPr>
          <w:b/>
        </w:rPr>
        <w:t>3) 디지털 농업</w:t>
      </w:r>
    </w:p>
    <w:p>
      <w:pPr>
        <w:spacing w:after="20" w:before="0"/>
        <w:ind w:firstLine="220"/>
        <w:jc w:val="both"/>
      </w:pPr>
      <w:r>
        <w:rPr>
          <w:b w:val="0"/>
        </w:rPr>
        <w:t>디지털 농업은 세 가지 개념 가운데 가장 넓은 범위의 개념이라고 볼 수 있습니다. 정밀 농업과 스마트팜을 포함하면서 데이터 관리와 분석 기술을 결합하여 생산부터 유통과 소비에 이르기까지 농업의 전 과정에서 새로운 가치를 만들어 내는 농업을 의미합니다(경기일보, 2022).</w:t>
      </w:r>
    </w:p>
    <w:p>
      <w:pPr>
        <w:spacing w:after="20" w:before="0"/>
        <w:ind w:firstLine="220"/>
        <w:jc w:val="both"/>
      </w:pPr>
      <w:r>
        <w:rPr>
          <w:b w:val="0"/>
        </w:rPr>
        <w:t>이를 간단하게 정리하면 정밀 농업이 ‘농경지 안의 위치별 차이’를 데이터로 관리하고, 스마트팜이 ‘시설 안의 환경’을 데이터로 관리한다면, 디지털 농업은 이러한 데이터를 농장 밖의 유통과 시장까지 연결하는 개념이라고 이해할 수 있습니다. 따라서 디지털 농업은 생산기술뿐만 아니라 유통과 소비 과정까지 포함한다는 점에서 더욱 넓은 개념이라고 생각합니다.</w:t>
      </w:r>
    </w:p>
    <w:p>
      <w:pPr>
        <w:keepNext/>
        <w:spacing w:after="20" w:before="40"/>
        <w:jc w:val="left"/>
      </w:pPr>
      <w:r>
        <w:rPr>
          <w:b/>
        </w:rPr>
        <w:t>4) 세 개념을 제 일에 비춰 보면</w:t>
      </w:r>
    </w:p>
    <w:p>
      <w:pPr>
        <w:spacing w:after="20" w:before="0"/>
        <w:ind w:firstLine="220"/>
        <w:jc w:val="both"/>
      </w:pPr>
      <w:r>
        <w:rPr>
          <w:b w:val="0"/>
        </w:rPr>
        <w:t>이러한 개념을 공부하면서 현재 제가 근무하고 있는 회사의 업무도 떠올릴 수 있었습니다. 저는 마케팅을 공부하면서 수치를 분석하고 활용하는 방법을 익혔고, 그 경험을 바탕으로 예상하지 못했던 나이키의 창고 부서에서 근무하게 되었습니다. 그곳에서는 창고의 수용 능력, 이른바 ‘케파’를 관리하면서 매장에 하루, 한 달, 1년 동안 어느 정도의 제품이 입고되고 출고되는지를 수치로 확인하고, 다음 해의 물량까지 미리 점검합니다.</w:t>
      </w:r>
    </w:p>
    <w:p>
      <w:pPr>
        <w:spacing w:after="20" w:before="0"/>
        <w:ind w:firstLine="220"/>
        <w:jc w:val="both"/>
      </w:pPr>
      <w:r>
        <w:rPr>
          <w:b w:val="0"/>
        </w:rPr>
        <w:t>이 업무를 수행하면서 데이터가 단순한 숫자 이상의 의미를 가질 수 있다는 점도 알게 되었습니다. 예를 들어 평일에 비가 오면 매장을 찾는 고객이 감소하는 경우가 많지만, 주말에 비가 오면 오히려 매장을 찾는 사람이 늘어나는 경우가 있습니다. 평균적인 수치만 놓고 보면 ‘비가 오는 날에는 고객이 적다’고 판단하기 쉽지만, 요일과 날씨라는 조건을 나누어 분석하면 전혀 다른 결과가 나타날 수 있는 것입니다.</w:t>
      </w:r>
    </w:p>
    <w:p>
      <w:pPr>
        <w:spacing w:after="20" w:before="0"/>
        <w:ind w:firstLine="220"/>
        <w:jc w:val="both"/>
      </w:pPr>
      <w:r>
        <w:rPr>
          <w:b w:val="0"/>
        </w:rPr>
        <w:t>저는 이러한 사고방식이 정밀 농업의 기본적인 관점과 닮아 있다고 생각합니다. 농경지 전체의 평균적인 상태만 보는 것이 아니라 위치에 따른 차이를 확인하는 것처럼, 매출 역시 전체적인 수치만 보는 것이 아니라 요일과 날씨 등의 조건에 따른 차이를 함께 살펴보아야 정확하게 판단할 수 있기 때문입니다.</w:t>
      </w:r>
    </w:p>
    <w:p>
      <w:pPr>
        <w:spacing w:after="20" w:before="0"/>
        <w:ind w:firstLine="220"/>
        <w:jc w:val="both"/>
      </w:pPr>
      <w:r>
        <w:rPr>
          <w:b w:val="0"/>
        </w:rPr>
        <w:t>또한 창고의 물량 데이터를 매장의 판매량과 다음 해의 물량 계획까지 연결하여 활용하는 과정은 디지털 농업에서 생산 데이터를 유통과 소비까지 연결하는 구조와도 유사하다고 생각합니다. 처음에는 농업과 직접적인 관련이 없어 보였던 창고 업무 경험이었지만, 지금은 이러한 경험이 농업에서 데이터를 바라보는 관점을 이해하는 데에도 도움이 되고 있습니다.</w:t>
      </w:r>
    </w:p>
    <w:p>
      <w:pPr>
        <w:keepNext/>
        <w:spacing w:after="60" w:before="80"/>
        <w:jc w:val="left"/>
      </w:pPr>
      <w:r>
        <w:rPr>
          <w:b/>
        </w:rPr>
        <w:t>2. 최근 적용되고 있는 농업기술</w:t>
      </w:r>
    </w:p>
    <w:p>
      <w:pPr>
        <w:keepNext/>
        <w:spacing w:after="20" w:before="40"/>
        <w:jc w:val="left"/>
      </w:pPr>
      <w:r>
        <w:rPr>
          <w:b/>
        </w:rPr>
        <w:t>1) 위성·드론 데이터를 활용한 변량시비</w:t>
      </w:r>
    </w:p>
    <w:p>
      <w:pPr>
        <w:spacing w:after="20" w:before="0"/>
        <w:ind w:firstLine="220"/>
        <w:jc w:val="both"/>
      </w:pPr>
      <w:r>
        <w:rPr>
          <w:b w:val="0"/>
        </w:rPr>
        <w:t>정밀 농업은 이제 단순한 연구 단계에 머무르지 않고 실제 농업 현장에서 실증되는 단계로 발전하고 있습니다. 농촌진흥청과 농기계 기업 대동은 협력하여 전국 231개 필지에서 관련 기술을 실증했으며, 그 결과 비료 처방 오차율을 4.29% 수준까지 낮춘 것으로 나타났습니다. 또한 변량시비 이후 질소 균일도가 기존보다 73% 개선되었으며, 위성과 드론 데이터를 활용하여 작성한 웃거름 지도의 상관성은 0.97로 나타났습니다(머니투데이, 2026).</w:t>
      </w:r>
    </w:p>
    <w:p>
      <w:pPr>
        <w:spacing w:after="20" w:before="0"/>
        <w:ind w:firstLine="220"/>
        <w:jc w:val="both"/>
      </w:pPr>
      <w:r>
        <w:rPr>
          <w:b w:val="0"/>
        </w:rPr>
        <w:t>이는 위성 영상을 활용하여 드론 촬영 결과에 가까운 생육 지도를 제작할 수 있다는 의미로 볼 수 있습니다. 따라서 넓은 농경지를 드론으로 일일이 촬영하기 어려운 농가에서도 위성 데이터를 활용하여 생육 상태를 파악할 수 있으며, 결과적으로 정밀 농업 기술의 활용에 필요한 비용과 작업 부담을 줄이는 데 도움이 될 수 있다고 생각합니다.</w:t>
      </w:r>
    </w:p>
    <w:p>
      <w:pPr>
        <w:keepNext/>
        <w:spacing w:after="20" w:before="40"/>
        <w:jc w:val="left"/>
      </w:pPr>
      <w:r>
        <w:rPr>
          <w:b/>
        </w:rPr>
        <w:t>2) 순환식 수경재배와 2세대 스마트팜</w:t>
      </w:r>
    </w:p>
    <w:p>
      <w:pPr>
        <w:spacing w:after="20" w:before="0"/>
        <w:ind w:firstLine="220"/>
        <w:jc w:val="both"/>
      </w:pPr>
      <w:r>
        <w:rPr>
          <w:b w:val="0"/>
        </w:rPr>
        <w:t>시설원예 분야의 스마트팜은 장비와 자동화 중심의 1세대에서 데이터와 인공지능을 활용하는 2세대로 발전하고 있으며, 농촌진흥청에서는 그 핵심 기술 가운데 하나로 순환식 수경재배를 보급하고 있습니다.</w:t>
      </w:r>
    </w:p>
    <w:p>
      <w:pPr>
        <w:spacing w:after="20" w:before="0"/>
        <w:ind w:firstLine="220"/>
        <w:jc w:val="both"/>
      </w:pPr>
      <w:r>
        <w:rPr>
          <w:b w:val="0"/>
        </w:rPr>
        <w:t>기존의 수경재배에서는 작물에 공급하고 남은 양액, 즉 배액을 그대로 배출하는 경우가 있었지만, 순환식 수경재배에서는 배액을 회수한 뒤 성분을 분석하고 살균 및 희석 과정을 거쳐 다시 사용합니다. 농촌진흥청에 따르면 이러한 방식을 활용할 경우 화학비료 사용량은 30~40%, 농업용수는 20~30%까지 줄일 수 있습니다(뉴시스, 2026).</w:t>
      </w:r>
    </w:p>
    <w:p>
      <w:pPr>
        <w:spacing w:after="20" w:before="0"/>
        <w:ind w:firstLine="220"/>
        <w:jc w:val="both"/>
      </w:pPr>
      <w:r>
        <w:rPr>
          <w:b w:val="0"/>
        </w:rPr>
        <w:t>이와 함께 기업마다 서로 다른 온실 환경관리 프로그램을 앱스토어처럼 선택하여 사용할 수 있도록 하는 ‘아라온실 플랫폼’도 보급되고 있습니다(뉴스서울, 2024). 이는 스마트팜이 단순히 시설을 자동으로 제어하는 단계에서 벗어나 데이터를 활용하여 농업인의 의사결정을 지원하는 방향으로 발전하고 있음을 보여 준다고 생각합니다.</w:t>
      </w:r>
    </w:p>
    <w:p>
      <w:pPr>
        <w:spacing w:after="20" w:before="0"/>
        <w:ind w:firstLine="220"/>
        <w:jc w:val="both"/>
      </w:pPr>
      <w:r>
        <w:rPr>
          <w:b w:val="0"/>
        </w:rPr>
        <w:t>토마토 스마트팜 창업을 준비했던 저에게 이러한 기술은 특히 관심 있게 다가왔습니다. 수경재배 과정에서 지속적으로 발생하는 배액은 농가의 입장에서는 관리해야 할 비용이면서 환경적인 측면에서는 오염원이 될 수 있기 때문입니다. 따라서 생산비를 줄이는 기술이 동시에 환경을 보호하는 기술로 이어질 수 있다는 점에서 순환식 수경재배는 환경친화적인 농업이 나아가야 할 방향을 보여 주는 사례라고 생각합니다.</w:t>
      </w:r>
    </w:p>
    <w:p>
      <w:pPr>
        <w:keepNext/>
        <w:spacing w:after="20" w:before="40"/>
        <w:jc w:val="left"/>
      </w:pPr>
      <w:r>
        <w:rPr>
          <w:b/>
        </w:rPr>
        <w:t>3) 자율주행 농기계와 농업로봇</w:t>
      </w:r>
    </w:p>
    <w:p>
      <w:pPr>
        <w:spacing w:after="20" w:before="0"/>
        <w:ind w:firstLine="220"/>
        <w:jc w:val="both"/>
      </w:pPr>
      <w:r>
        <w:rPr>
          <w:b w:val="0"/>
        </w:rPr>
        <w:t>노지 농업에서는 사람의 작업을 대신하거나 보조하는 기술도 빠르게 발전하고 있습니다. 농촌의 일손 부족과 인건비 상승에 대응하기 위해 농림축산식품부와 농촌진흥청은 2026년부터 2030년까지 572억 원을 투입하여 자율주행 농기계, 농업용 로봇, 농작업 드론 등을 개발하기로 하고, 2026년 6월 민관 연구개발 협의체를 출범시켰습니다.</w:t>
      </w:r>
    </w:p>
    <w:p>
      <w:pPr>
        <w:spacing w:after="20" w:before="0"/>
        <w:ind w:firstLine="220"/>
        <w:jc w:val="both"/>
      </w:pPr>
      <w:r>
        <w:rPr>
          <w:b w:val="0"/>
        </w:rPr>
        <w:t>18개 핵심 과제에는 여러 대의 자율주행 트랙터가 함께 작업하는 군집 협업 기술을 비롯하여 정밀 제초, 과수 관리 로봇, 자율수확 드론 등이 포함되어 있습니다(농림축산식품부, 2026). 이러한 기술이 실제 현장에 안정적으로 적용된다면 농촌의 노동력 부족 문제를 완화하는 데 중요한 역할을 할 수 있을 것으로 생각합니다. 특히 농업인 한 사람이 처리해야 하는 작업의 양을 줄이고 반복적인 작업을 자동화한다는 점에서 농업인의 노동 부담을 낮추는 데에도 의미가 있다고 봅니다.</w:t>
      </w:r>
    </w:p>
    <w:p>
      <w:pPr>
        <w:keepNext/>
        <w:spacing w:after="60" w:before="80"/>
        <w:jc w:val="left"/>
      </w:pPr>
      <w:r>
        <w:rPr>
          <w:b/>
        </w:rPr>
        <w:t>3. 기술보다 먼저 봐야 할 것: 비용, 격차, 유통</w:t>
      </w:r>
    </w:p>
    <w:p>
      <w:pPr>
        <w:spacing w:after="20" w:before="0"/>
        <w:ind w:firstLine="220"/>
        <w:jc w:val="both"/>
      </w:pPr>
      <w:r>
        <w:rPr>
          <w:b w:val="0"/>
        </w:rPr>
        <w:t>농업기술을 조사할수록 앞으로의 농업에 대한 기대도 커졌지만, 한편으로는 스마트팜 창업을 준비하면서 직접 마주했던 현실도 함께 떠올랐습니다. 스마트팜은 국가에서 저금리 대출 등을 통해 시설 자금을 지원하고 있지만, 지원을 받을 수 있다는 사실만으로 농업인의 경제적 부담이 크게 줄어드는 것은 아닙니다.</w:t>
      </w:r>
    </w:p>
    <w:p>
      <w:pPr>
        <w:spacing w:after="20" w:before="0"/>
        <w:ind w:firstLine="220"/>
        <w:jc w:val="both"/>
      </w:pPr>
      <w:r>
        <w:rPr>
          <w:b w:val="0"/>
        </w:rPr>
        <w:t>제가 알아본 토마토 스마트팜의 경우 비교적 저렴한 PVC 온실도 평당 50만 원 정도의 비용이 필요했고, 일반적으로 1,000평 정도를 기준으로 계획을 세우면 시설비만 약 5억 원에 이릅니다. 여기에 농기구와 차량 등의 비용까지 더해지면 초기 투자 규모는 더욱 커집니다. 따라서 정책적인 지원이 있더라도 초기 자본이 부족한 청년농에게는 상당한 경제적 위험으로 이어질 수 있다고 생각합니다.</w:t>
      </w:r>
    </w:p>
    <w:p>
      <w:pPr>
        <w:spacing w:after="20" w:before="0"/>
        <w:ind w:firstLine="220"/>
        <w:jc w:val="both"/>
      </w:pPr>
      <w:r>
        <w:rPr>
          <w:b w:val="0"/>
        </w:rPr>
        <w:t>실제로 제 주변에서도 스마트팜을 시작했다가 중도에 그만둔 청년농을 어렵지 않게 볼 수 있었습니다. 또한 보도에 따르면 경북의 스마트팜 청년 정착률은 31%에 그쳤으며, 창업에 최소 20억 원 이상의 초기 자본이 필요하다는 지적도 제기되었습니다(한국경제, 2025). 이러한 수치를 보면서 스마트팜 정책이 단순히 시설을 마련할 수 있도록 지원하는 것만으로는 충분하지 않다는 생각이 들었습니다. 청년의 자립을 지원하려는 정책이라 하더라도 초기 투자 부담이 지나치게 크다면 실패에 따른 경제적 책임은 결국 개인에게 돌아갈 수 있기 때문입니다.</w:t>
      </w:r>
    </w:p>
    <w:p>
      <w:pPr>
        <w:spacing w:after="20" w:before="0"/>
        <w:ind w:firstLine="220"/>
        <w:jc w:val="both"/>
      </w:pPr>
      <w:r>
        <w:rPr>
          <w:b w:val="0"/>
        </w:rPr>
        <w:t>따라서 시설 지원뿐만 아니라 안정적인 판로 확보와 경영 교육, 초기 투자 부담을 줄일 수 있는 임대형 스마트팜 등의 정책이 함께 마련될 필요가 있다고 생각합니다. 기술을 공급하는 것에서 끝나는 것이 아니라 농업인이 실제로 기술을 활용하여 지속적으로 농사를 이어 갈 수 있는 환경을 만들어 주는 것이 중요하다고 봅니다.</w:t>
      </w:r>
    </w:p>
    <w:p>
      <w:pPr>
        <w:spacing w:after="20" w:before="0"/>
        <w:ind w:firstLine="220"/>
        <w:jc w:val="both"/>
      </w:pPr>
      <w:r>
        <w:rPr>
          <w:b w:val="0"/>
        </w:rPr>
        <w:t>고령 농업인의 상황 역시 중요하게 살펴볼 필요가 있습니다. 기계나 시설에 문제가 발생했을 때 젊은 농업인은 업체에 직접 연락하고 인터넷 등을 활용하여 해결 방법을 찾을 수 있지만, 고령 농업인의 경우 AS 기사가 올 때까지 기다릴 수밖에 없는 상황도 발생할 수 있습니다. 그 사이 온실의 환경이 제대로 관리되지 않는다면 한 해 농사의 결과가 크게 달라질 수도 있습니다.</w:t>
      </w:r>
    </w:p>
    <w:p>
      <w:pPr>
        <w:spacing w:after="20" w:before="0"/>
        <w:ind w:firstLine="220"/>
        <w:jc w:val="both"/>
      </w:pPr>
      <w:r>
        <w:rPr>
          <w:b w:val="0"/>
        </w:rPr>
        <w:t>이처럼 기술 자체가 모든 사람에게 열려 있다고 하더라도 그것을 이해하고 활용할 수 있는 정보와 능력에는 차이가 존재합니다. 따라서 나이나 디지털 환경 등의 차이로 인해 일부 농업인이 기술의 혜택에서 소외된다면, 그 기술이 아직 현장에 완전히 정착했다고 보기는 어렵습니다. 기술의 발전과 함께 교육과 지원 체계가 함께 마련되어야 하는 이유도 여기에 있다고 생각합니다.</w:t>
      </w:r>
    </w:p>
    <w:p>
      <w:pPr>
        <w:spacing w:after="20" w:before="0"/>
        <w:ind w:firstLine="220"/>
        <w:jc w:val="both"/>
      </w:pPr>
      <w:r>
        <w:rPr>
          <w:b w:val="0"/>
        </w:rPr>
        <w:t>마지막으로 유통의 문제도 중요하게 생각할 필요가 있습니다. 서론에서 언급한 것처럼 저는 SNS 마케팅 경험과 학점은행제를 통해 취득한 경영학사를 바탕으로 직접 재배한 농산물을 직접 판매하여 농산물 가격에서 큰 비중을 차지하는 유통 비용을 줄이겠다는 목표를 세웠습니다. 이러한 경험을 통해 생산자와 소비자를 직접 연결하는 플랫폼에도 관심을 가지게 되었습니다.</w:t>
      </w:r>
    </w:p>
    <w:p>
      <w:pPr>
        <w:spacing w:after="20" w:before="0"/>
        <w:ind w:firstLine="220"/>
        <w:jc w:val="both"/>
      </w:pPr>
      <w:r>
        <w:rPr>
          <w:b w:val="0"/>
        </w:rPr>
        <w:t>디지털 농업이 생산부터 소비까지의 전 과정을 데이터로 연결하는 개념이라면, 생산기술뿐만 아니라 유통 구조를 개선하는 기술 역시 함께 발전해야 한다고 생각합니다. 아무리 생산성이 높아지고 좋은 농산물을 생산하더라도 유통 과정에서 비용이 지나치게 발생한다면 농업인의 실제 소득 증가로 이어지기 어렵기 때문입니다. 결국 디지털 농업의 발전은 생산량이나 생산성의 향상뿐만 아니라 농업인이 실제로 얻는 소득까지 연결될 수 있어야 의미가 있다고 생각합니다.</w:t>
      </w:r>
    </w:p>
    <w:p>
      <w:pPr>
        <w:keepNext/>
        <w:spacing w:after="60" w:before="160"/>
        <w:jc w:val="left"/>
      </w:pPr>
      <w:r>
        <w:rPr>
          <w:b/>
          <w:sz w:val="24"/>
        </w:rPr>
        <w:t>Ⅲ. 결론</w:t>
      </w:r>
    </w:p>
    <w:p>
      <w:pPr>
        <w:spacing w:after="20" w:before="0"/>
        <w:ind w:firstLine="220"/>
        <w:jc w:val="both"/>
      </w:pPr>
      <w:r>
        <w:rPr>
          <w:b w:val="0"/>
        </w:rPr>
        <w:t>이번 과제를 수행하기 전까지 저에게 스마트팜은 신기하고 발전된 농업기술이라는 이미지가 강했습니다. 그러나 관련 기술을 조사하고 제가 직접 스마트팜 창업을 준비했던 경험을 함께 돌아보면서 생각이 조금 달라졌습니다. 위성을 활용하여 필요한 만큼의 비료를 투입하고, 버려지던 양액을 다시 활용하며, 로봇이 농작업을 대신하는 기술은 분명 농업의 생산성과 환경을 함께 개선할 가능성을 가지고 있습니다.</w:t>
      </w:r>
    </w:p>
    <w:p>
      <w:pPr>
        <w:spacing w:after="20" w:before="0"/>
        <w:ind w:firstLine="220"/>
        <w:jc w:val="both"/>
      </w:pPr>
      <w:r>
        <w:rPr>
          <w:b w:val="0"/>
        </w:rPr>
        <w:t>그러나 이러한 기술이 큰 대출을 필요로 하거나 사용 방법이 지나치게 복잡하여 일부 농업인만 활용할 수 있다면, 기술의 발전이 모든 농업인에게 동일한 기회로 이어진다고 보기는 어렵습니다. 특히 청년농에게는 초기 투자 비용이 부담으로 작용할 수 있고, 고령 농업인에게는 기술을 배우고 활용하는 과정 자체가 새로운 장벽이 될 수도 있습니다. 따라서 농업기술을 평가할 때에는 기술 자체의 성능뿐만 아니라 실제로 그 기술을 사용하는 농업인의 경제적·사회적 조건까지 함께 살펴볼 필요가 있다고 생각합니다.</w:t>
      </w:r>
    </w:p>
    <w:p>
      <w:pPr>
        <w:spacing w:after="20" w:before="0"/>
        <w:ind w:firstLine="220"/>
        <w:jc w:val="both"/>
      </w:pPr>
      <w:r>
        <w:rPr>
          <w:b w:val="0"/>
        </w:rPr>
        <w:t>이번 과제를 통해 제가 얻은 가장 큰 깨달음은 좋은 기술을 만드는 것만큼이나 그 기술을 실제 현장에서 지속적으로 사용할 수 있도록 만드는 것이 중요하다는 점입니다. 생산비를 줄이고 노동력을 절감하는 기술이라 하더라도 초기 비용이 지나치게 높거나 판로가 확보되지 않는다면 농업인의 실질적인 소득 향상으로 이어지기 어렵습니다. 결국 디지털 농업과 스마트 농업의 발전은 기술의 발전뿐만 아니라 비용과 교육, 유통 구조의 개선이 함께 이루어질 때 더욱 의미가 있다고 생각합니다.</w:t>
      </w:r>
    </w:p>
    <w:p>
      <w:pPr>
        <w:spacing w:after="20" w:before="0"/>
        <w:ind w:firstLine="220"/>
        <w:jc w:val="both"/>
      </w:pPr>
      <w:r>
        <w:rPr>
          <w:b w:val="0"/>
        </w:rPr>
        <w:t>앞으로 저는 농업 분야에서 데이터를 분석하는 연구 분야나 종자 분야의 일을 찾아보고자 합니다. 현재 창고에서 물량을 숫자로 파악하고 다음 해의 수요를 예측하는 업무 경험이 작물의 생육 데이터를 분석하고 활용하는 데에도 연결될 수 있다고 생각하기 때문입니다. 또한 언젠가 제가 분석한 데이터나 개발에 참여한 기술이 실제 농업 현장에서 활용된다면, 기술을 사용하는 농업인의 입장에서 생각하는 자세를 갖추고 싶습니다.</w:t>
      </w:r>
    </w:p>
    <w:p>
      <w:pPr>
        <w:spacing w:after="20" w:before="0"/>
        <w:ind w:firstLine="220"/>
        <w:jc w:val="both"/>
      </w:pPr>
      <w:r>
        <w:rPr>
          <w:b w:val="0"/>
        </w:rPr>
        <w:t>특히 고장 난 기계나 복잡한 시스템 앞에서 농업인이 혼자 해결책을 찾느라 어려움을 겪는 일이 없도록, 사용하기 쉽고 경제적인 기술을 만드는 데 관심을 가지고 싶습니다. 농업의 미래를 바꾸는 것은 결국 첨단기술 자체만이 아니라 그 기술을 실제로 사용하는 사람까지 고려하는 데서 시작된다고 생각합니다.</w:t>
      </w:r>
    </w:p>
    <w:p>
      <w:pPr>
        <w:keepNext/>
        <w:spacing w:after="60" w:before="160"/>
        <w:jc w:val="left"/>
      </w:pPr>
      <w:r>
        <w:rPr>
          <w:b/>
          <w:sz w:val="24"/>
        </w:rPr>
        <w:t>참고문헌</w:t>
      </w:r>
    </w:p>
    <w:p>
      <w:pPr>
        <w:spacing w:after="0" w:before="0"/>
        <w:ind w:hanging="240" w:left="240"/>
        <w:jc w:val="left"/>
      </w:pPr>
      <w:r>
        <w:rPr>
          <w:b w:val="0"/>
          <w:sz w:val="19"/>
        </w:rPr>
        <w:t>함태호 외(2026). 『환경친화형농업』. 서울: 한국방송통신대학교출판문화원.</w:t>
      </w:r>
    </w:p>
    <w:p>
      <w:pPr>
        <w:spacing w:after="0" w:before="0"/>
        <w:ind w:hanging="240" w:left="240"/>
        <w:jc w:val="left"/>
      </w:pPr>
      <w:r>
        <w:rPr>
          <w:b w:val="0"/>
          <w:sz w:val="19"/>
        </w:rPr>
        <w:t>「스마트농업 육성 및 지원에 관한 법률」 제1조, 제2조. 국가법령정보센터.</w:t>
      </w:r>
    </w:p>
    <w:p>
      <w:pPr>
        <w:spacing w:after="0" w:before="0"/>
        <w:ind w:hanging="240" w:left="240"/>
        <w:jc w:val="left"/>
      </w:pPr>
      <w:r>
        <w:rPr>
          <w:b w:val="0"/>
          <w:sz w:val="19"/>
        </w:rPr>
        <w:t>경기일보(2022.8.24). 경기도농업기술원장 칼럼(디지털농업).</w:t>
      </w:r>
    </w:p>
    <w:p>
      <w:pPr>
        <w:spacing w:after="0" w:before="0"/>
        <w:ind w:hanging="240" w:left="240"/>
        <w:jc w:val="left"/>
      </w:pPr>
      <w:r>
        <w:rPr>
          <w:b w:val="0"/>
          <w:sz w:val="19"/>
        </w:rPr>
        <w:t>머니투데이(2026.1.23). 「[더벨]대동, 농진청과 스마트농업 현장 성과 확인」.</w:t>
      </w:r>
    </w:p>
    <w:p>
      <w:pPr>
        <w:spacing w:after="0" w:before="0"/>
        <w:ind w:hanging="240" w:left="240"/>
        <w:jc w:val="left"/>
      </w:pPr>
      <w:r>
        <w:rPr>
          <w:b w:val="0"/>
          <w:sz w:val="19"/>
        </w:rPr>
        <w:t>뉴시스(2026.5.11). 「수경재배 배액 재활용했더니…비료구매비 최대 40% 절감」.</w:t>
      </w:r>
    </w:p>
    <w:p>
      <w:pPr>
        <w:spacing w:after="0" w:before="0"/>
        <w:ind w:hanging="240" w:left="240"/>
        <w:jc w:val="left"/>
      </w:pPr>
      <w:r>
        <w:rPr>
          <w:b w:val="0"/>
          <w:sz w:val="19"/>
        </w:rPr>
        <w:t>뉴스서울(2024). 「농촌진흥청, '친환경, 효율성' 갖춘 2세대 스마트팜 보급 준비 '착착'」.</w:t>
      </w:r>
    </w:p>
    <w:p>
      <w:pPr>
        <w:spacing w:after="0" w:before="0"/>
        <w:ind w:hanging="240" w:left="240"/>
        <w:jc w:val="left"/>
      </w:pPr>
      <w:r>
        <w:rPr>
          <w:b w:val="0"/>
          <w:sz w:val="19"/>
        </w:rPr>
        <w:t>농림축산식품부(2026.6). 「농작업 부담을 덜어주는 농업로봇 개발을 위한 R&amp;D 협의체 출범」(보도자료).</w:t>
      </w:r>
    </w:p>
    <w:p>
      <w:pPr>
        <w:spacing w:after="0" w:before="0"/>
        <w:ind w:hanging="240" w:left="240"/>
        <w:jc w:val="left"/>
      </w:pPr>
      <w:r>
        <w:rPr>
          <w:b w:val="0"/>
          <w:sz w:val="19"/>
        </w:rPr>
        <w:t>한국경제(2025.9.4). 「경북 스마트팜 청년 정착률 31%로 저조…"창업에 20억 필요"」.</w:t>
      </w:r>
    </w:p>
    <w:sectPr w:rsidR="00FC693F" w:rsidRPr="0006063C" w:rsidSect="00034616">
      <w:pgSz w:w="11906" w:h="16838"/>
      <w:pgMar w:top="1134" w:right="1134" w:bottom="850" w:left="113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맑은 고딕">
    <w:altName w:val="Malgun Gothic"/>
    <w:panose1 w:val="020B0503020000020004"/>
    <w:charset w:val="81"/>
    <w:family w:val="modern"/>
    <w:pitch w:val="variable"/>
  </w:font>
  <w:font w:name="바탕">
    <w:altName w:val="Batang"/>
    <w:panose1 w:val="02030600000101010101"/>
    <w:charset w:val="81"/>
    <w:family w:val="roman"/>
    <w:pitch w:val="variable"/>
  </w:font>
  <w:font w:name="HY헤드라인M">
    <w:charset w:val="81"/>
    <w:family w:val="roman"/>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