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203F2" w14:textId="77777777" w:rsidR="003F0D71" w:rsidRDefault="00000000">
      <w:pPr>
        <w:pStyle w:val="Heading1"/>
      </w:pPr>
      <w:bookmarkStart w:id="0" w:name="Xe73778ec83021220981232b6234903c38bab8f1"/>
      <w:r>
        <w:t>Minimizing Interrupt Latency and Jitter (i.MX RT1050 EVKB, ARM Cortex‑M7)</w:t>
      </w:r>
    </w:p>
    <w:p w14:paraId="38B7755F" w14:textId="77777777" w:rsidR="003F0D71" w:rsidRDefault="00356D75">
      <w:r>
        <w:rPr>
          <w:noProof/>
        </w:rPr>
        <w:pict w14:anchorId="27D1C9C1">
          <v:rect id="_x0000_i1037" alt="" style="width:451.3pt;height:.05pt;mso-width-percent:0;mso-height-percent:0;mso-width-percent:0;mso-height-percent:0" o:hralign="center" o:hrstd="t" o:hr="t"/>
        </w:pict>
      </w:r>
    </w:p>
    <w:p w14:paraId="711E9FAA" w14:textId="77777777" w:rsidR="003F0D71" w:rsidRDefault="00000000">
      <w:pPr>
        <w:pStyle w:val="Heading2"/>
      </w:pPr>
      <w:bookmarkStart w:id="1" w:name="X689173eadac808a761968aee55897dc4f4923a4"/>
      <w:r>
        <w:t>1) Why latency and jitter matter (with precise definitions)</w:t>
      </w:r>
    </w:p>
    <w:p w14:paraId="4CD680CF" w14:textId="77777777" w:rsidR="000B701D" w:rsidRDefault="00000000" w:rsidP="000B701D">
      <w:pPr>
        <w:pStyle w:val="FirstParagraph"/>
        <w:numPr>
          <w:ilvl w:val="0"/>
          <w:numId w:val="16"/>
        </w:numPr>
      </w:pPr>
      <w:r>
        <w:rPr>
          <w:b/>
          <w:bCs/>
        </w:rPr>
        <w:t>Interrupt latency</w:t>
      </w:r>
      <w:r>
        <w:t xml:space="preserve"> is the elapsed time from when a hardware event asserts an interrupt line until the </w:t>
      </w:r>
      <w:r>
        <w:rPr>
          <w:b/>
          <w:bCs/>
        </w:rPr>
        <w:t>first instruction</w:t>
      </w:r>
      <w:r>
        <w:t xml:space="preserve"> of the corresponding Interrupt Service Routine (</w:t>
      </w:r>
      <w:r>
        <w:rPr>
          <w:b/>
          <w:bCs/>
        </w:rPr>
        <w:t>ISR</w:t>
      </w:r>
      <w:r>
        <w:t xml:space="preserve">) executes. </w:t>
      </w:r>
    </w:p>
    <w:p w14:paraId="3EE03B03" w14:textId="11783D5B" w:rsidR="003F0D71" w:rsidRDefault="00000000" w:rsidP="000B701D">
      <w:pPr>
        <w:pStyle w:val="FirstParagraph"/>
        <w:numPr>
          <w:ilvl w:val="0"/>
          <w:numId w:val="16"/>
        </w:numPr>
      </w:pPr>
      <w:r>
        <w:rPr>
          <w:b/>
          <w:bCs/>
        </w:rPr>
        <w:t>Interrupt jitter</w:t>
      </w:r>
      <w:r>
        <w:t xml:space="preserve"> is the variation of that latency from one occurrence to the next (i.e., the spread of the distribution, not its mean).</w:t>
      </w:r>
    </w:p>
    <w:p w14:paraId="5974A03F" w14:textId="77777777" w:rsidR="000B701D" w:rsidRDefault="00000000" w:rsidP="000B701D">
      <w:pPr>
        <w:pStyle w:val="BodyText"/>
        <w:numPr>
          <w:ilvl w:val="0"/>
          <w:numId w:val="16"/>
        </w:numPr>
      </w:pPr>
      <w:r>
        <w:t xml:space="preserve">In avionics, we need </w:t>
      </w:r>
      <w:r>
        <w:rPr>
          <w:b/>
          <w:bCs/>
        </w:rPr>
        <w:t>predictability</w:t>
      </w:r>
      <w:r>
        <w:t xml:space="preserve"> as much as speed. </w:t>
      </w:r>
    </w:p>
    <w:p w14:paraId="2D4ADC95" w14:textId="36042E65" w:rsidR="000B701D" w:rsidRDefault="00000000" w:rsidP="000B701D">
      <w:pPr>
        <w:pStyle w:val="BodyText"/>
        <w:numPr>
          <w:ilvl w:val="0"/>
          <w:numId w:val="16"/>
        </w:numPr>
      </w:pPr>
      <w:r>
        <w:t xml:space="preserve">Accurate sampling, time‑aligned data fusion, and bus timestamping must meet </w:t>
      </w:r>
      <w:r>
        <w:rPr>
          <w:b/>
          <w:bCs/>
        </w:rPr>
        <w:t>worst‑case</w:t>
      </w:r>
      <w:r>
        <w:t xml:space="preserve"> budgets for certification under </w:t>
      </w:r>
      <w:r>
        <w:rPr>
          <w:b/>
          <w:bCs/>
        </w:rPr>
        <w:t>RTCA DO‑178C</w:t>
      </w:r>
      <w:r>
        <w:t xml:space="preserve"> (</w:t>
      </w:r>
      <w:r>
        <w:rPr>
          <w:i/>
          <w:iCs/>
        </w:rPr>
        <w:t>Software Considerations in Airborne Systems and Equipment Certification</w:t>
      </w:r>
      <w:r>
        <w:t xml:space="preserve">). </w:t>
      </w:r>
    </w:p>
    <w:p w14:paraId="3B44BE7A" w14:textId="5C185A3E" w:rsidR="003F0D71" w:rsidRDefault="00000000" w:rsidP="000B701D">
      <w:pPr>
        <w:pStyle w:val="BodyText"/>
        <w:numPr>
          <w:ilvl w:val="0"/>
          <w:numId w:val="16"/>
        </w:numPr>
      </w:pPr>
      <w:r>
        <w:t>Jitter is often more damaging than average latency because it creates rare but dangerous outliers that break assumptions in control loops and data correlation.</w:t>
      </w:r>
    </w:p>
    <w:p w14:paraId="574C26BC" w14:textId="77777777" w:rsidR="003F0D71" w:rsidRDefault="00356D75">
      <w:r>
        <w:rPr>
          <w:noProof/>
        </w:rPr>
        <w:pict w14:anchorId="44709596">
          <v:rect id="_x0000_i1036" alt="" style="width:451.3pt;height:.05pt;mso-width-percent:0;mso-height-percent:0;mso-width-percent:0;mso-height-percent:0" o:hralign="center" o:hrstd="t" o:hr="t"/>
        </w:pict>
      </w:r>
    </w:p>
    <w:p w14:paraId="1F76E107" w14:textId="77777777" w:rsidR="003F0D71" w:rsidRDefault="00000000">
      <w:pPr>
        <w:pStyle w:val="Heading2"/>
      </w:pPr>
      <w:bookmarkStart w:id="2" w:name="cortexm7-latency-path-i.mx-rt1050"/>
      <w:bookmarkEnd w:id="1"/>
      <w:r>
        <w:t>2) Cortex‑M7 latency path (i.MX RT1050)</w:t>
      </w:r>
    </w:p>
    <w:p w14:paraId="2EA37E25" w14:textId="77777777" w:rsidR="003F0D71" w:rsidRDefault="00000000">
      <w:pPr>
        <w:pStyle w:val="FirstParagraph"/>
      </w:pPr>
      <w:r>
        <w:t>From event to first ISR instruction, the path is:</w:t>
      </w:r>
    </w:p>
    <w:p w14:paraId="512B188C" w14:textId="77777777" w:rsidR="003F0D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Peripheral → NVIC</w:t>
      </w:r>
      <w:r>
        <w:t xml:space="preserve"> (Nested Vectored Interrupt Controller): peripheral asserts an interrupt; request traverses on‑chip interconnect.</w:t>
      </w:r>
    </w:p>
    <w:p w14:paraId="7D599B28" w14:textId="77777777" w:rsidR="003F0D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Masking and priority checks</w:t>
      </w:r>
      <w:r>
        <w:t xml:space="preserve">: </w:t>
      </w:r>
      <w:r>
        <w:rPr>
          <w:rStyle w:val="VerbatimChar"/>
        </w:rPr>
        <w:t>PRIMASK</w:t>
      </w:r>
      <w:r>
        <w:t xml:space="preserve"> (global mask), </w:t>
      </w:r>
      <w:r>
        <w:rPr>
          <w:rStyle w:val="VerbatimChar"/>
        </w:rPr>
        <w:t>BASEPRI</w:t>
      </w:r>
      <w:r>
        <w:t xml:space="preserve"> (mask at/under threshold), and </w:t>
      </w:r>
      <w:r>
        <w:rPr>
          <w:rStyle w:val="VerbatimChar"/>
        </w:rPr>
        <w:t>FAULTMASK</w:t>
      </w:r>
      <w:r>
        <w:t xml:space="preserve"> (masks even faults) can delay service. If not masked and of higher priority than the current context, preemption proceeds.</w:t>
      </w:r>
    </w:p>
    <w:p w14:paraId="71A247BD" w14:textId="77777777" w:rsidR="003F0D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Automatic stacking</w:t>
      </w:r>
      <w:r>
        <w:t>: core saves R0–R3, R12, LR, PC, xPSR; optionally Floating‑Point Unit (</w:t>
      </w:r>
      <w:r>
        <w:rPr>
          <w:b/>
          <w:bCs/>
        </w:rPr>
        <w:t>FPU</w:t>
      </w:r>
      <w:r>
        <w:t>) state (depending on lazy stacking policy).</w:t>
      </w:r>
    </w:p>
    <w:p w14:paraId="79A70163" w14:textId="77777777" w:rsidR="003F0D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Vector fetch &amp; instruction fetch</w:t>
      </w:r>
      <w:r>
        <w:t>: handler address is read from the vector table (</w:t>
      </w:r>
      <w:r>
        <w:rPr>
          <w:rStyle w:val="VerbatimChar"/>
        </w:rPr>
        <w:t>SCB-&gt;VTOR</w:t>
      </w:r>
      <w:r>
        <w:t>), then the first instruction fetch occurs.</w:t>
      </w:r>
    </w:p>
    <w:p w14:paraId="7A9E3454" w14:textId="77777777" w:rsidR="000B701D" w:rsidRDefault="00000000">
      <w:pPr>
        <w:pStyle w:val="FirstParagraph"/>
      </w:pPr>
      <w:r>
        <w:t xml:space="preserve">Micro‑architectural helpers when priorities are set well: - </w:t>
      </w:r>
    </w:p>
    <w:p w14:paraId="202181B2" w14:textId="52735D15" w:rsidR="000B701D" w:rsidRDefault="00000000" w:rsidP="000B701D">
      <w:pPr>
        <w:pStyle w:val="FirstParagraph"/>
        <w:numPr>
          <w:ilvl w:val="0"/>
          <w:numId w:val="17"/>
        </w:numPr>
      </w:pPr>
      <w:r>
        <w:rPr>
          <w:b/>
          <w:bCs/>
        </w:rPr>
        <w:t>Tail‑chaining</w:t>
      </w:r>
      <w:r>
        <w:t>: switches directly between back‑to‑back ISRs, cutting return/entry overhead.</w:t>
      </w:r>
    </w:p>
    <w:p w14:paraId="16ED2A2E" w14:textId="224A86C9" w:rsidR="003F0D71" w:rsidRDefault="00000000" w:rsidP="000B701D">
      <w:pPr>
        <w:pStyle w:val="FirstParagraph"/>
        <w:numPr>
          <w:ilvl w:val="0"/>
          <w:numId w:val="17"/>
        </w:numPr>
      </w:pPr>
      <w:r>
        <w:rPr>
          <w:b/>
          <w:bCs/>
        </w:rPr>
        <w:lastRenderedPageBreak/>
        <w:t>Late arrival</w:t>
      </w:r>
      <w:r>
        <w:t>: a higher‑priority interrupt can preempt during the entry of a lower‑priority ISR, protecting the latency of the more important event.</w:t>
      </w:r>
    </w:p>
    <w:p w14:paraId="2377D9E4" w14:textId="6691FC2C" w:rsidR="003F0D71" w:rsidRDefault="009478AC">
      <w:pPr>
        <w:pStyle w:val="BodyText"/>
      </w:pPr>
      <w:r>
        <w:t xml:space="preserve">One cannot delete these steps, but one can </w:t>
      </w:r>
      <w:r>
        <w:rPr>
          <w:b/>
          <w:bCs/>
        </w:rPr>
        <w:t>remove variability</w:t>
      </w:r>
      <w:r>
        <w:t xml:space="preserve"> from them.</w:t>
      </w:r>
    </w:p>
    <w:p w14:paraId="47EEB5A0" w14:textId="77777777" w:rsidR="003F0D71" w:rsidRDefault="00356D75">
      <w:r>
        <w:rPr>
          <w:noProof/>
        </w:rPr>
        <w:pict w14:anchorId="3A51751D">
          <v:rect id="_x0000_i1035" alt="" style="width:451.3pt;height:.05pt;mso-width-percent:0;mso-height-percent:0;mso-width-percent:0;mso-height-percent:0" o:hralign="center" o:hrstd="t" o:hr="t"/>
        </w:pict>
      </w:r>
    </w:p>
    <w:p w14:paraId="2BBAA500" w14:textId="77777777" w:rsidR="003F0D71" w:rsidRDefault="00000000">
      <w:pPr>
        <w:pStyle w:val="Heading2"/>
      </w:pPr>
      <w:bookmarkStart w:id="3" w:name="Xc5621237b0fd2088a00ff8938c6bef0d4bb0f11"/>
      <w:bookmarkEnd w:id="2"/>
      <w:r>
        <w:t xml:space="preserve">3) Primary sources of latency </w:t>
      </w:r>
      <w:r>
        <w:rPr>
          <w:b/>
          <w:bCs/>
        </w:rPr>
        <w:t>jitter</w:t>
      </w:r>
      <w:r>
        <w:t xml:space="preserve"> on i.MX RT1050</w:t>
      </w:r>
    </w:p>
    <w:p w14:paraId="3258BDBA" w14:textId="77777777" w:rsidR="003F0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Execute‑In‑Place (XIP) from external flash</w:t>
      </w:r>
      <w:r>
        <w:t xml:space="preserve"> via FlexSPI and the AXI (Advanced eXtensible Interface) fabric: I‑cache misses and bus contention make vector fetch and ISR fetch time variable.</w:t>
      </w:r>
    </w:p>
    <w:p w14:paraId="1173626A" w14:textId="77777777" w:rsidR="003F0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cache and DMA (Direct Memory Access) interactions</w:t>
      </w:r>
      <w:r>
        <w:t>: without explicit clean/invalidate discipline, buffer sharing between CPU and EDMA (Enhanced DMA) introduces unpredictable maintenance points and stale reads/writes.</w:t>
      </w:r>
    </w:p>
    <w:p w14:paraId="129327D2" w14:textId="77777777" w:rsidR="003F0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Lazy FPU stacking</w:t>
      </w:r>
      <w:r>
        <w:t>: the first floating‑point instruction in an ISR triggers FP state save/restore, creating sporadic long entries.</w:t>
      </w:r>
    </w:p>
    <w:p w14:paraId="326B5651" w14:textId="77777777" w:rsidR="003F0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Masking strategy</w:t>
      </w:r>
      <w:r>
        <w:t xml:space="preserve">: long </w:t>
      </w:r>
      <w:r>
        <w:rPr>
          <w:rStyle w:val="VerbatimChar"/>
        </w:rPr>
        <w:t>__disable_irq()</w:t>
      </w:r>
      <w:r>
        <w:t xml:space="preserve"> (global mask) windows inflate jitter across the system; </w:t>
      </w:r>
      <w:r>
        <w:rPr>
          <w:rStyle w:val="VerbatimChar"/>
        </w:rPr>
        <w:t>BASEPRI</w:t>
      </w:r>
      <w:r>
        <w:t xml:space="preserve"> misuse can also block a lifeline ISR if priorities are mis‑assigned.</w:t>
      </w:r>
    </w:p>
    <w:p w14:paraId="5ADB2FA6" w14:textId="77777777" w:rsidR="003F0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Long or branchy ISRs</w:t>
      </w:r>
      <w:r>
        <w:t>: medium‑priority ISRs that run long block higher‑priority ISRs; heavy branching increases path‑length variance on Cortex‑M7.</w:t>
      </w:r>
    </w:p>
    <w:p w14:paraId="25BFE56C" w14:textId="77777777" w:rsidR="003F0D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Clock and power management</w:t>
      </w:r>
      <w:r>
        <w:t>: late enable of clocks or bus gating adds wake‑up variability.</w:t>
      </w:r>
    </w:p>
    <w:p w14:paraId="4DD12C36" w14:textId="77777777" w:rsidR="003F0D71" w:rsidRDefault="00356D75">
      <w:r>
        <w:rPr>
          <w:noProof/>
        </w:rPr>
        <w:pict w14:anchorId="33DA758B">
          <v:rect id="_x0000_i1034" alt="" style="width:451.3pt;height:.05pt;mso-width-percent:0;mso-height-percent:0;mso-width-percent:0;mso-height-percent:0" o:hralign="center" o:hrstd="t" o:hr="t"/>
        </w:pict>
      </w:r>
    </w:p>
    <w:p w14:paraId="6C99F47F" w14:textId="77777777" w:rsidR="003F0D71" w:rsidRDefault="00000000">
      <w:pPr>
        <w:pStyle w:val="Heading2"/>
      </w:pPr>
      <w:bookmarkStart w:id="4" w:name="X458045a857e9eb876d2226e85a0db2e9c30bc2f"/>
      <w:bookmarkEnd w:id="3"/>
      <w:r>
        <w:t>4) Design rules that consistently reduce latency and jitter</w:t>
      </w:r>
    </w:p>
    <w:p w14:paraId="6945A704" w14:textId="77777777" w:rsidR="003F0D71" w:rsidRDefault="00000000">
      <w:pPr>
        <w:pStyle w:val="Heading3"/>
      </w:pPr>
      <w:bookmarkStart w:id="5" w:name="use-priorities-and-masking-deliberately"/>
      <w:r>
        <w:t>4.1 Use priorities and masking deliberately</w:t>
      </w:r>
    </w:p>
    <w:p w14:paraId="30254076" w14:textId="77777777" w:rsidR="003F0D71" w:rsidRDefault="00000000">
      <w:pPr>
        <w:pStyle w:val="Compact"/>
        <w:numPr>
          <w:ilvl w:val="0"/>
          <w:numId w:val="4"/>
        </w:numPr>
      </w:pPr>
      <w:r>
        <w:t xml:space="preserve">Assign the truly timing‑critical ISR a </w:t>
      </w:r>
      <w:r>
        <w:rPr>
          <w:b/>
          <w:bCs/>
        </w:rPr>
        <w:t>numerically small</w:t>
      </w:r>
      <w:r>
        <w:t xml:space="preserve"> priority (e.g., 1; 0 is the absolute highest). Document a priority map.</w:t>
      </w:r>
    </w:p>
    <w:p w14:paraId="2026B9F3" w14:textId="77777777" w:rsidR="003F0D71" w:rsidRDefault="00000000">
      <w:pPr>
        <w:pStyle w:val="Compact"/>
        <w:numPr>
          <w:ilvl w:val="0"/>
          <w:numId w:val="4"/>
        </w:numPr>
      </w:pPr>
      <w:r>
        <w:t>Avoid global masking (</w:t>
      </w:r>
      <w:r>
        <w:rPr>
          <w:rStyle w:val="VerbatimChar"/>
        </w:rPr>
        <w:t>PRIMASK</w:t>
      </w:r>
      <w:r>
        <w:t xml:space="preserve">); guard short critical sections with </w:t>
      </w:r>
      <w:r>
        <w:rPr>
          <w:rStyle w:val="VerbatimChar"/>
          <w:b/>
          <w:bCs/>
        </w:rPr>
        <w:t>BASEPRI</w:t>
      </w:r>
      <w:r>
        <w:t xml:space="preserve"> so the lifeline ISR can still preempt instantly.</w:t>
      </w:r>
    </w:p>
    <w:p w14:paraId="08B852E8" w14:textId="77777777" w:rsidR="003F0D71" w:rsidRDefault="00000000">
      <w:pPr>
        <w:pStyle w:val="Heading3"/>
      </w:pPr>
      <w:bookmarkStart w:id="6" w:name="make-memory-deterministic"/>
      <w:bookmarkEnd w:id="5"/>
      <w:r>
        <w:t>4.2 Make memory deterministic</w:t>
      </w:r>
    </w:p>
    <w:p w14:paraId="22514787" w14:textId="77777777" w:rsidR="003F0D71" w:rsidRDefault="00000000">
      <w:pPr>
        <w:pStyle w:val="Compact"/>
        <w:numPr>
          <w:ilvl w:val="0"/>
          <w:numId w:val="5"/>
        </w:numPr>
      </w:pPr>
      <w:r>
        <w:t xml:space="preserve">Place the </w:t>
      </w:r>
      <w:r>
        <w:rPr>
          <w:b/>
          <w:bCs/>
        </w:rPr>
        <w:t>vector table</w:t>
      </w:r>
      <w:r>
        <w:t xml:space="preserve"> and timing‑critical ISRs in </w:t>
      </w:r>
      <w:r>
        <w:rPr>
          <w:b/>
          <w:bCs/>
        </w:rPr>
        <w:t>ITCM</w:t>
      </w:r>
      <w:r>
        <w:t xml:space="preserve"> (Instruction Tightly Coupled Memory); place their hot data in </w:t>
      </w:r>
      <w:r>
        <w:rPr>
          <w:b/>
          <w:bCs/>
        </w:rPr>
        <w:t>DTCM</w:t>
      </w:r>
      <w:r>
        <w:t xml:space="preserve"> (Data TCM). This removes XIP/cache/AXI variability.</w:t>
      </w:r>
    </w:p>
    <w:p w14:paraId="2331D731" w14:textId="77777777" w:rsidR="003F0D71" w:rsidRDefault="00000000">
      <w:pPr>
        <w:pStyle w:val="Compact"/>
        <w:numPr>
          <w:ilvl w:val="0"/>
          <w:numId w:val="5"/>
        </w:numPr>
      </w:pPr>
      <w:r>
        <w:t>If executing from flash is unavoidable, keep ISRs tiny and straight‑line so they stay I‑cache hot (still not as deterministic as ITCM).</w:t>
      </w:r>
    </w:p>
    <w:p w14:paraId="4A1941C6" w14:textId="77777777" w:rsidR="003F0D71" w:rsidRDefault="00000000">
      <w:pPr>
        <w:pStyle w:val="Heading3"/>
      </w:pPr>
      <w:bookmarkStart w:id="7" w:name="X0c37ce74ce0ea1e13f3a360e2b1d6d33c7f8d8e"/>
      <w:bookmarkEnd w:id="6"/>
      <w:r>
        <w:t>4.3 Keep ISRs tiny, constant‑time, and branch‑light</w:t>
      </w:r>
    </w:p>
    <w:p w14:paraId="45FD3401" w14:textId="77777777" w:rsidR="003F0D71" w:rsidRDefault="00000000">
      <w:pPr>
        <w:pStyle w:val="Compact"/>
        <w:numPr>
          <w:ilvl w:val="0"/>
          <w:numId w:val="6"/>
        </w:numPr>
      </w:pPr>
      <w:r>
        <w:t>Acknowledge the device, capture timestamp/counter, enqueue a compact record, and exit. Push all parsing/logging to a bottom half.</w:t>
      </w:r>
    </w:p>
    <w:p w14:paraId="1DC0D37F" w14:textId="77777777" w:rsidR="003F0D71" w:rsidRDefault="00000000">
      <w:pPr>
        <w:pStyle w:val="Heading3"/>
      </w:pPr>
      <w:bookmarkStart w:id="8" w:name="floatingpoint-policy"/>
      <w:bookmarkEnd w:id="7"/>
      <w:r>
        <w:lastRenderedPageBreak/>
        <w:t>4.4 Floating‑point policy</w:t>
      </w:r>
    </w:p>
    <w:p w14:paraId="097E6D68" w14:textId="77777777" w:rsidR="003F0D71" w:rsidRDefault="00000000">
      <w:pPr>
        <w:pStyle w:val="Compact"/>
        <w:numPr>
          <w:ilvl w:val="0"/>
          <w:numId w:val="7"/>
        </w:numPr>
      </w:pPr>
      <w:r>
        <w:t xml:space="preserve">Prefer </w:t>
      </w:r>
      <w:r>
        <w:rPr>
          <w:b/>
          <w:bCs/>
        </w:rPr>
        <w:t>no float in ISRs</w:t>
      </w:r>
      <w:r>
        <w:t>. If float is required, disable lazy stacking to pay a constant entry cost every time. Do not allow rare first‑use penalties to become outliers.</w:t>
      </w:r>
    </w:p>
    <w:p w14:paraId="5237E015" w14:textId="77777777" w:rsidR="003F0D71" w:rsidRDefault="00000000">
      <w:pPr>
        <w:pStyle w:val="Heading3"/>
      </w:pPr>
      <w:bookmarkStart w:id="9" w:name="cache-discipline-with-dma"/>
      <w:bookmarkEnd w:id="8"/>
      <w:r>
        <w:t>4.5 Cache discipline with DMA</w:t>
      </w:r>
    </w:p>
    <w:p w14:paraId="449C7366" w14:textId="77777777" w:rsidR="003F0D71" w:rsidRDefault="00000000">
      <w:pPr>
        <w:pStyle w:val="Compact"/>
        <w:numPr>
          <w:ilvl w:val="0"/>
          <w:numId w:val="8"/>
        </w:numPr>
      </w:pPr>
      <w:r>
        <w:t xml:space="preserve">Easiest deterministic choice: place DMA rings in </w:t>
      </w:r>
      <w:r>
        <w:rPr>
          <w:b/>
          <w:bCs/>
        </w:rPr>
        <w:t>non‑cacheable</w:t>
      </w:r>
      <w:r>
        <w:t xml:space="preserve"> memory.</w:t>
      </w:r>
    </w:p>
    <w:p w14:paraId="4103EDDD" w14:textId="77777777" w:rsidR="003F0D71" w:rsidRDefault="00000000">
      <w:pPr>
        <w:pStyle w:val="Compact"/>
        <w:numPr>
          <w:ilvl w:val="0"/>
          <w:numId w:val="8"/>
        </w:numPr>
      </w:pPr>
      <w:r>
        <w:t xml:space="preserve">If buffers must be cacheable, enforce a documented </w:t>
      </w:r>
      <w:r>
        <w:rPr>
          <w:b/>
          <w:bCs/>
        </w:rPr>
        <w:t>clean/invalidate + barrier</w:t>
      </w:r>
      <w:r>
        <w:t xml:space="preserve"> protocol at handoff points (producer cleans before DMA‑out; consumer invalidates after DMA‑in).</w:t>
      </w:r>
    </w:p>
    <w:p w14:paraId="4EC92102" w14:textId="77777777" w:rsidR="003F0D71" w:rsidRDefault="00000000">
      <w:pPr>
        <w:pStyle w:val="Heading3"/>
      </w:pPr>
      <w:bookmarkStart w:id="10" w:name="strictly-periodic-scheduling"/>
      <w:bookmarkEnd w:id="9"/>
      <w:r>
        <w:t>4.6 Strictly periodic scheduling</w:t>
      </w:r>
    </w:p>
    <w:p w14:paraId="15042EE2" w14:textId="77777777" w:rsidR="003F0D71" w:rsidRDefault="00000000">
      <w:pPr>
        <w:pStyle w:val="Compact"/>
        <w:numPr>
          <w:ilvl w:val="0"/>
          <w:numId w:val="9"/>
        </w:numPr>
      </w:pPr>
      <w:r>
        <w:t xml:space="preserve">Program </w:t>
      </w:r>
      <w:r>
        <w:rPr>
          <w:rStyle w:val="VerbatimChar"/>
        </w:rPr>
        <w:t>next_deadline = previous_deadline + period</w:t>
      </w:r>
      <w:r>
        <w:t xml:space="preserve">, not </w:t>
      </w:r>
      <w:r>
        <w:rPr>
          <w:rStyle w:val="VerbatimChar"/>
        </w:rPr>
        <w:t>now + period</w:t>
      </w:r>
      <w:r>
        <w:t>, to prevent drift and convert occasional delays into non‑accumulating phase errors.</w:t>
      </w:r>
    </w:p>
    <w:p w14:paraId="5C874FD1" w14:textId="77777777" w:rsidR="003F0D71" w:rsidRDefault="00000000">
      <w:pPr>
        <w:pStyle w:val="Heading3"/>
      </w:pPr>
      <w:bookmarkStart w:id="11" w:name="stabilize-clocks"/>
      <w:bookmarkEnd w:id="10"/>
      <w:r>
        <w:t>4.7 Stabilize clocks</w:t>
      </w:r>
    </w:p>
    <w:p w14:paraId="4E0DFC36" w14:textId="77777777" w:rsidR="003F0D71" w:rsidRDefault="00000000">
      <w:pPr>
        <w:pStyle w:val="Compact"/>
        <w:numPr>
          <w:ilvl w:val="0"/>
          <w:numId w:val="10"/>
        </w:numPr>
      </w:pPr>
      <w:r>
        <w:t>Keep the GPT (General Purpose Timer) / PIT (Periodic Interrupt Timer) and relevant interconnect clocks enabled at known divisors during critical operation.</w:t>
      </w:r>
    </w:p>
    <w:p w14:paraId="0991840E" w14:textId="77777777" w:rsidR="003F0D71" w:rsidRDefault="00356D75">
      <w:r>
        <w:rPr>
          <w:noProof/>
        </w:rPr>
        <w:pict w14:anchorId="3DA6C3B8">
          <v:rect id="_x0000_i1033" alt="" style="width:451.3pt;height:.05pt;mso-width-percent:0;mso-height-percent:0;mso-width-percent:0;mso-height-percent:0" o:hralign="center" o:hrstd="t" o:hr="t"/>
        </w:pict>
      </w:r>
    </w:p>
    <w:p w14:paraId="2E83B7CC" w14:textId="77777777" w:rsidR="003F0D71" w:rsidRDefault="00000000">
      <w:pPr>
        <w:pStyle w:val="Heading2"/>
      </w:pPr>
      <w:bookmarkStart w:id="12" w:name="measuring-what-matters-before-optimizing"/>
      <w:bookmarkEnd w:id="4"/>
      <w:bookmarkEnd w:id="11"/>
      <w:r>
        <w:t>5) Measuring what matters (before optimizing)</w:t>
      </w:r>
    </w:p>
    <w:p w14:paraId="684A155A" w14:textId="77777777" w:rsidR="000B701D" w:rsidRDefault="00000000">
      <w:pPr>
        <w:pStyle w:val="FirstParagraph"/>
      </w:pPr>
      <w:r>
        <w:t xml:space="preserve">Use </w:t>
      </w:r>
      <w:r>
        <w:rPr>
          <w:b/>
          <w:bCs/>
        </w:rPr>
        <w:t xml:space="preserve">two </w:t>
      </w:r>
      <w:proofErr w:type="spellStart"/>
      <w:r>
        <w:rPr>
          <w:b/>
          <w:bCs/>
        </w:rPr>
        <w:t>timebases</w:t>
      </w:r>
      <w:proofErr w:type="spellEnd"/>
      <w:r>
        <w:t>: -</w:t>
      </w:r>
    </w:p>
    <w:p w14:paraId="2029DA81" w14:textId="7477FADB" w:rsidR="000B701D" w:rsidRDefault="00000000" w:rsidP="000B701D">
      <w:pPr>
        <w:pStyle w:val="FirstParagraph"/>
        <w:numPr>
          <w:ilvl w:val="0"/>
          <w:numId w:val="18"/>
        </w:numPr>
      </w:pPr>
      <w:r>
        <w:rPr>
          <w:b/>
          <w:bCs/>
        </w:rPr>
        <w:t>DWT</w:t>
      </w:r>
      <w:r>
        <w:t xml:space="preserve"> (Data Watchpoint and Trace) </w:t>
      </w:r>
      <w:r>
        <w:rPr>
          <w:rStyle w:val="VerbatimChar"/>
        </w:rPr>
        <w:t>CYCCNT</w:t>
      </w:r>
      <w:r>
        <w:t xml:space="preserve"> for core‑cycle timing. </w:t>
      </w:r>
      <w:r w:rsidR="000B701D">
        <w:t>–</w:t>
      </w:r>
      <w:r>
        <w:t xml:space="preserve"> </w:t>
      </w:r>
    </w:p>
    <w:p w14:paraId="0E2ED51E" w14:textId="7D221919" w:rsidR="003F0D71" w:rsidRDefault="00000000" w:rsidP="000B701D">
      <w:pPr>
        <w:pStyle w:val="FirstParagraph"/>
        <w:numPr>
          <w:ilvl w:val="0"/>
          <w:numId w:val="18"/>
        </w:numPr>
      </w:pPr>
      <w:r>
        <w:rPr>
          <w:b/>
          <w:bCs/>
        </w:rPr>
        <w:t>GPT/PIT</w:t>
      </w:r>
      <w:r>
        <w:t xml:space="preserve"> as a peripheral domain clock to timestamp ISR entry relative to scheduled compare events.</w:t>
      </w:r>
    </w:p>
    <w:p w14:paraId="69427CD4" w14:textId="77777777" w:rsidR="000B701D" w:rsidRDefault="00000000" w:rsidP="000B701D">
      <w:pPr>
        <w:pStyle w:val="BodyText"/>
        <w:numPr>
          <w:ilvl w:val="0"/>
          <w:numId w:val="19"/>
        </w:numPr>
      </w:pPr>
      <w:r>
        <w:t xml:space="preserve">Also toggle a </w:t>
      </w:r>
      <w:r>
        <w:rPr>
          <w:b/>
          <w:bCs/>
        </w:rPr>
        <w:t>GPIO</w:t>
      </w:r>
      <w:r>
        <w:t xml:space="preserve"> (e.g., EVKB user LED on </w:t>
      </w:r>
      <w:r>
        <w:rPr>
          <w:rStyle w:val="VerbatimChar"/>
        </w:rPr>
        <w:t>GPIO1_IO09</w:t>
      </w:r>
      <w:r>
        <w:t xml:space="preserve">) at ISR entry/exit and view on a logic analyzer. </w:t>
      </w:r>
    </w:p>
    <w:p w14:paraId="08B54A36" w14:textId="77777777" w:rsidR="000B701D" w:rsidRDefault="00000000" w:rsidP="000B701D">
      <w:pPr>
        <w:pStyle w:val="BodyText"/>
        <w:numPr>
          <w:ilvl w:val="0"/>
          <w:numId w:val="19"/>
        </w:numPr>
      </w:pPr>
      <w:r>
        <w:t xml:space="preserve">Collect </w:t>
      </w:r>
      <w:r>
        <w:rPr>
          <w:b/>
          <w:bCs/>
        </w:rPr>
        <w:t>min/mean/max</w:t>
      </w:r>
      <w:r>
        <w:t xml:space="preserve"> and </w:t>
      </w:r>
      <w:r>
        <w:rPr>
          <w:b/>
          <w:bCs/>
        </w:rPr>
        <w:t>p99.9</w:t>
      </w:r>
      <w:r>
        <w:t xml:space="preserve"> under idle and </w:t>
      </w:r>
      <w:r>
        <w:rPr>
          <w:b/>
          <w:bCs/>
        </w:rPr>
        <w:t>worst‑case contention</w:t>
      </w:r>
      <w:r>
        <w:t xml:space="preserve"> (UART floods, DMA bursts). </w:t>
      </w:r>
    </w:p>
    <w:p w14:paraId="35B2A8BB" w14:textId="64D634D2" w:rsidR="003F0D71" w:rsidRDefault="00000000" w:rsidP="000B701D">
      <w:pPr>
        <w:pStyle w:val="BodyText"/>
        <w:numPr>
          <w:ilvl w:val="0"/>
          <w:numId w:val="19"/>
        </w:numPr>
      </w:pPr>
      <w:r>
        <w:t>If you cannot measure the worst case, you do not own the worst case.</w:t>
      </w:r>
    </w:p>
    <w:p w14:paraId="21FFD6B1" w14:textId="77777777" w:rsidR="003F0D71" w:rsidRDefault="00356D75">
      <w:r>
        <w:rPr>
          <w:noProof/>
        </w:rPr>
        <w:pict w14:anchorId="7C3FFCAF">
          <v:rect id="_x0000_i1032" alt="" style="width:451.3pt;height:.05pt;mso-width-percent:0;mso-height-percent:0;mso-width-percent:0;mso-height-percent:0" o:hralign="center" o:hrstd="t" o:hr="t"/>
        </w:pict>
      </w:r>
    </w:p>
    <w:p w14:paraId="6EDC0616" w14:textId="77777777" w:rsidR="003F0D71" w:rsidRDefault="00000000">
      <w:pPr>
        <w:pStyle w:val="Heading2"/>
      </w:pPr>
      <w:bookmarkStart w:id="13" w:name="X3dee3bfca9c623df9c83b835d337c388fc19270"/>
      <w:bookmarkEnd w:id="12"/>
      <w:r>
        <w:t>6) Generic worked example: a rock‑steady 10 kHz timestamp ISR</w:t>
      </w:r>
    </w:p>
    <w:p w14:paraId="09E26644" w14:textId="77777777" w:rsidR="003F0D71" w:rsidRDefault="00000000">
      <w:pPr>
        <w:pStyle w:val="FirstParagraph"/>
      </w:pPr>
      <w:r>
        <w:rPr>
          <w:b/>
          <w:bCs/>
        </w:rPr>
        <w:t>Goal</w:t>
      </w:r>
      <w:r>
        <w:t>: ≤ 2 µs worst‑case entry, ≤ 0.5 µs jitter.</w:t>
      </w:r>
    </w:p>
    <w:p w14:paraId="1D5474E2" w14:textId="77777777" w:rsidR="00E46DEF" w:rsidRDefault="00000000">
      <w:pPr>
        <w:pStyle w:val="BodyText"/>
      </w:pPr>
      <w:r>
        <w:rPr>
          <w:b/>
          <w:bCs/>
        </w:rPr>
        <w:t>Concept</w:t>
      </w:r>
      <w:r>
        <w:t xml:space="preserve">: </w:t>
      </w:r>
    </w:p>
    <w:p w14:paraId="5669282E" w14:textId="77777777" w:rsidR="00E46DEF" w:rsidRDefault="00000000" w:rsidP="00E46DEF">
      <w:pPr>
        <w:pStyle w:val="BodyText"/>
        <w:numPr>
          <w:ilvl w:val="0"/>
          <w:numId w:val="23"/>
        </w:numPr>
      </w:pPr>
      <w:r>
        <w:t>GPT1 free‑</w:t>
      </w:r>
      <w:proofErr w:type="gramStart"/>
      <w:r>
        <w:t>runs;</w:t>
      </w:r>
      <w:proofErr w:type="gramEnd"/>
      <w:r>
        <w:t xml:space="preserve"> </w:t>
      </w:r>
    </w:p>
    <w:p w14:paraId="3418AFB2" w14:textId="77777777" w:rsidR="00E46DEF" w:rsidRDefault="00000000" w:rsidP="00E46DEF">
      <w:pPr>
        <w:pStyle w:val="BodyText"/>
        <w:numPr>
          <w:ilvl w:val="0"/>
          <w:numId w:val="23"/>
        </w:numPr>
      </w:pPr>
      <w:r>
        <w:t xml:space="preserve">schedule strictly periodic compares. </w:t>
      </w:r>
    </w:p>
    <w:p w14:paraId="063C6F53" w14:textId="77777777" w:rsidR="00E46DEF" w:rsidRDefault="00000000" w:rsidP="00E46DEF">
      <w:pPr>
        <w:pStyle w:val="BodyText"/>
        <w:numPr>
          <w:ilvl w:val="0"/>
          <w:numId w:val="23"/>
        </w:numPr>
      </w:pPr>
      <w:r>
        <w:lastRenderedPageBreak/>
        <w:t xml:space="preserve">The ISR (in ITCM, high priority) sets a probe GPIO high, reads GPT, computes </w:t>
      </w:r>
      <w:r>
        <w:rPr>
          <w:rStyle w:val="VerbatimChar"/>
        </w:rPr>
        <w:t>latency = now − expected</w:t>
      </w:r>
      <w:r>
        <w:t xml:space="preserve">, schedules </w:t>
      </w:r>
      <w:r>
        <w:rPr>
          <w:rStyle w:val="VerbatimChar"/>
        </w:rPr>
        <w:t>expected + period</w:t>
      </w:r>
      <w:r>
        <w:t xml:space="preserve">, clears the flag, sets GPIO low, exits. </w:t>
      </w:r>
    </w:p>
    <w:p w14:paraId="4D7A0450" w14:textId="32190E0A" w:rsidR="003F0D71" w:rsidRDefault="00000000" w:rsidP="00E46DEF">
      <w:pPr>
        <w:pStyle w:val="BodyText"/>
        <w:numPr>
          <w:ilvl w:val="0"/>
          <w:numId w:val="23"/>
        </w:numPr>
      </w:pPr>
      <w:r>
        <w:t>No float, no logging, no branches beyond the essential.</w:t>
      </w:r>
    </w:p>
    <w:p w14:paraId="722C5461" w14:textId="77777777" w:rsidR="00E46DEF" w:rsidRDefault="00000000">
      <w:pPr>
        <w:pStyle w:val="BodyText"/>
      </w:pPr>
      <w:r>
        <w:rPr>
          <w:b/>
          <w:bCs/>
        </w:rPr>
        <w:t>Why it works</w:t>
      </w:r>
      <w:r>
        <w:t xml:space="preserve">: </w:t>
      </w:r>
    </w:p>
    <w:p w14:paraId="5D044116" w14:textId="4EBE360C" w:rsidR="003F0D71" w:rsidRDefault="00000000" w:rsidP="00E46DEF">
      <w:pPr>
        <w:pStyle w:val="BodyText"/>
        <w:numPr>
          <w:ilvl w:val="0"/>
          <w:numId w:val="24"/>
        </w:numPr>
      </w:pPr>
      <w:r>
        <w:t xml:space="preserve">vector and ISR fetch are single‑cycle (ITCM), data hits DTCM, preemption is guaranteed by priority and </w:t>
      </w:r>
      <w:r>
        <w:rPr>
          <w:rStyle w:val="VerbatimChar"/>
        </w:rPr>
        <w:t>BASEPRI</w:t>
      </w:r>
      <w:r>
        <w:t xml:space="preserve"> discipline, and the code path is constant‑time.</w:t>
      </w:r>
    </w:p>
    <w:p w14:paraId="0741C289" w14:textId="4E784BAA" w:rsidR="003F0D71" w:rsidRDefault="00000000">
      <w:pPr>
        <w:pStyle w:val="BodyText"/>
      </w:pPr>
      <w:r>
        <w:rPr>
          <w:b/>
          <w:bCs/>
        </w:rPr>
        <w:t>SDK‑style snippet (compiles on EVKB‑IMXRT1050)</w:t>
      </w:r>
    </w:p>
    <w:p w14:paraId="00D0B792" w14:textId="77777777" w:rsidR="003F0D71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"fsl_clock.h"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DWT_EnableCycleCounter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g_last_target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g_latency_ticks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g_isr_count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PreprocessorTok"/>
        </w:rPr>
        <w:t>#define GPTx            GPT1</w:t>
      </w:r>
      <w:r>
        <w:br/>
      </w:r>
      <w:r>
        <w:rPr>
          <w:rStyle w:val="PreprocessorTok"/>
        </w:rPr>
        <w:t>#define GPTx_IRQn       GPT1_IRQn</w:t>
      </w:r>
      <w:r>
        <w:br/>
      </w:r>
      <w:r>
        <w:rPr>
          <w:rStyle w:val="PreprocessorTok"/>
        </w:rPr>
        <w:t xml:space="preserve">#define PERIOD_US       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gpt_ticks_per_us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PreprocessorTok"/>
        </w:rPr>
        <w:t>#ifndef BOARD_USER_LED_GPIO</w:t>
      </w:r>
      <w:r>
        <w:br/>
      </w:r>
      <w:r>
        <w:rPr>
          <w:rStyle w:val="PreprocessorTok"/>
        </w:rPr>
        <w:t>#define BOARD_USER_LED_GPIO     GPIO1</w:t>
      </w:r>
      <w:r>
        <w:br/>
      </w:r>
      <w:r>
        <w:rPr>
          <w:rStyle w:val="PreprocessorTok"/>
        </w:rPr>
        <w:t xml:space="preserve">#define BOARD_USER_LED_GPIO_PIN </w:t>
      </w:r>
      <w:r>
        <w:rPr>
          <w:rStyle w:val="DecValTok"/>
        </w:rPr>
        <w:t>9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>__attribute__</w:t>
      </w:r>
      <w:r>
        <w:rPr>
          <w:rStyle w:val="OperatorTok"/>
        </w:rPr>
        <w:t>((</w:t>
      </w:r>
      <w:r>
        <w:rPr>
          <w:rStyle w:val="NormalTok"/>
        </w:rPr>
        <w:t>section</w:t>
      </w:r>
      <w:r>
        <w:rPr>
          <w:rStyle w:val="OperatorTok"/>
        </w:rPr>
        <w:t>(</w:t>
      </w:r>
      <w:r>
        <w:rPr>
          <w:rStyle w:val="StringTok"/>
        </w:rPr>
        <w:t>".itcm_func"</w:t>
      </w:r>
      <w:r>
        <w:rPr>
          <w:rStyle w:val="OperatorTok"/>
        </w:rPr>
        <w:t>)))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GPT1_IRQHandler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GPIO_PinWrite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  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expect </w:t>
      </w:r>
      <w:r>
        <w:rPr>
          <w:rStyle w:val="OperatorTok"/>
        </w:rPr>
        <w:t>=</w:t>
      </w:r>
      <w:r>
        <w:rPr>
          <w:rStyle w:val="NormalTok"/>
        </w:rPr>
        <w:t xml:space="preserve"> g_last_target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g_latency_ticks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expect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natural wrap */</w:t>
      </w:r>
      <w:r>
        <w:br/>
      </w:r>
      <w:r>
        <w:rPr>
          <w:rStyle w:val="NormalTok"/>
        </w:rPr>
        <w:t xml:space="preserve">    g_isr_count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NormalTok"/>
        </w:rPr>
        <w:t xml:space="preserve">    g_last_target </w:t>
      </w:r>
      <w:r>
        <w:rPr>
          <w:rStyle w:val="OperatorTok"/>
        </w:rPr>
        <w:t>=</w:t>
      </w:r>
      <w:r>
        <w:rPr>
          <w:rStyle w:val="NormalTok"/>
        </w:rPr>
        <w:t xml:space="preserve"> expect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PERIOD_US </w:t>
      </w:r>
      <w:r>
        <w:rPr>
          <w:rStyle w:val="OperatorTok"/>
        </w:rPr>
        <w:t>*</w:t>
      </w:r>
      <w:r>
        <w:rPr>
          <w:rStyle w:val="NormalTok"/>
        </w:rPr>
        <w:t xml:space="preserve"> gpt_ticks_per_us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GPT_SetOutputCompareValue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g_last_target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GPT_ClearStatusFlags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GPIO_PinWrite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LatencyDemo_Init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BOARD_BootClockRUN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gpio_pin_config_t 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kGPIO_DigitalOutput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kGPIO_NoIntmode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gpt_config_t cfg</w:t>
      </w:r>
      <w:r>
        <w:rPr>
          <w:rStyle w:val="OperatorTok"/>
        </w:rPr>
        <w:t>;</w:t>
      </w:r>
      <w:r>
        <w:rPr>
          <w:rStyle w:val="NormalTok"/>
        </w:rPr>
        <w:t xml:space="preserve"> GPT_GetDefaultConfig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GPT_SetClockDivider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gpt_freq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kCLOCK_PerClk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gpt_ticks_per_us  </w:t>
      </w:r>
      <w:r>
        <w:rPr>
          <w:rStyle w:val="OperatorTok"/>
        </w:rPr>
        <w:t>=</w:t>
      </w:r>
      <w:r>
        <w:rPr>
          <w:rStyle w:val="NormalTok"/>
        </w:rPr>
        <w:t xml:space="preserve"> gpt_freq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g_last_target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gpt_ticks_per_us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GPT_SetOutputCompareValue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g_last_target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GPT_EnableInterrupts</w:t>
      </w:r>
      <w:r>
        <w:rPr>
          <w:rStyle w:val="OperatorTok"/>
        </w:rPr>
        <w:t>(</w:t>
      </w:r>
      <w:r>
        <w:rPr>
          <w:rStyle w:val="NormalTok"/>
        </w:rPr>
        <w:t>GPTx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GPTx_IRQn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NVIC_EnableIRQ</w:t>
      </w:r>
      <w:r>
        <w:rPr>
          <w:rStyle w:val="OperatorTok"/>
        </w:rPr>
        <w:t>(</w:t>
      </w:r>
      <w:r>
        <w:rPr>
          <w:rStyle w:val="NormalTok"/>
        </w:rPr>
        <w:t>GPTx_IRQn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DWT_EnableCycleCounter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4F2B6D7" w14:textId="77777777" w:rsidR="00E46DEF" w:rsidRDefault="00000000">
      <w:pPr>
        <w:pStyle w:val="FirstParagraph"/>
      </w:pPr>
      <w:r>
        <w:rPr>
          <w:b/>
          <w:bCs/>
        </w:rPr>
        <w:t>Linker/startup note</w:t>
      </w:r>
      <w:r>
        <w:t xml:space="preserve">: </w:t>
      </w:r>
    </w:p>
    <w:p w14:paraId="02E66390" w14:textId="76315C76" w:rsidR="00E46DEF" w:rsidRDefault="00E46DEF" w:rsidP="00E46DEF">
      <w:pPr>
        <w:pStyle w:val="FirstParagraph"/>
        <w:numPr>
          <w:ilvl w:val="0"/>
          <w:numId w:val="22"/>
        </w:numPr>
      </w:pPr>
      <w:r>
        <w:t>A</w:t>
      </w:r>
      <w:r w:rsidR="00000000">
        <w:t xml:space="preserve">dd a </w:t>
      </w:r>
      <w:proofErr w:type="gramStart"/>
      <w:r w:rsidR="00000000">
        <w:t xml:space="preserve">section </w:t>
      </w:r>
      <w:r w:rsidR="00000000">
        <w:rPr>
          <w:rStyle w:val="VerbatimChar"/>
        </w:rPr>
        <w:t>.</w:t>
      </w:r>
      <w:proofErr w:type="spellStart"/>
      <w:r w:rsidR="00000000">
        <w:rPr>
          <w:rStyle w:val="VerbatimChar"/>
        </w:rPr>
        <w:t>itcm</w:t>
      </w:r>
      <w:proofErr w:type="gramEnd"/>
      <w:r w:rsidR="00000000">
        <w:rPr>
          <w:rStyle w:val="VerbatimChar"/>
        </w:rPr>
        <w:t>_func</w:t>
      </w:r>
      <w:proofErr w:type="spellEnd"/>
      <w:r w:rsidR="00000000">
        <w:t xml:space="preserve"> mapped to ITCM; </w:t>
      </w:r>
    </w:p>
    <w:p w14:paraId="48011E9C" w14:textId="60DFE11F" w:rsidR="00E46DEF" w:rsidRDefault="00E46DEF" w:rsidP="00E46DEF">
      <w:pPr>
        <w:pStyle w:val="FirstParagraph"/>
        <w:numPr>
          <w:ilvl w:val="0"/>
          <w:numId w:val="22"/>
        </w:numPr>
      </w:pPr>
      <w:r>
        <w:t>R</w:t>
      </w:r>
      <w:r w:rsidR="00000000">
        <w:t>elocate the vector table (</w:t>
      </w:r>
      <w:r w:rsidR="00000000">
        <w:rPr>
          <w:rStyle w:val="VerbatimChar"/>
        </w:rPr>
        <w:t>SCB-&gt;VTOR</w:t>
      </w:r>
      <w:r w:rsidR="00000000">
        <w:t xml:space="preserve"> → ITCM) with </w:t>
      </w:r>
      <w:r w:rsidR="00000000">
        <w:rPr>
          <w:rStyle w:val="VerbatimChar"/>
        </w:rPr>
        <w:t>__</w:t>
      </w:r>
      <w:proofErr w:type="gramStart"/>
      <w:r w:rsidR="00000000">
        <w:rPr>
          <w:rStyle w:val="VerbatimChar"/>
        </w:rPr>
        <w:t>DSB(</w:t>
      </w:r>
      <w:proofErr w:type="gramEnd"/>
      <w:r w:rsidR="00000000">
        <w:rPr>
          <w:rStyle w:val="VerbatimChar"/>
        </w:rPr>
        <w:t>); __ISB();</w:t>
      </w:r>
      <w:r w:rsidR="00000000">
        <w:t xml:space="preserve"> </w:t>
      </w:r>
    </w:p>
    <w:p w14:paraId="1536FB6A" w14:textId="41DF9AF8" w:rsidR="00E46DEF" w:rsidRDefault="00E46DEF" w:rsidP="00E46DEF">
      <w:pPr>
        <w:pStyle w:val="FirstParagraph"/>
        <w:numPr>
          <w:ilvl w:val="0"/>
          <w:numId w:val="22"/>
        </w:numPr>
      </w:pPr>
      <w:r>
        <w:t>A</w:t>
      </w:r>
      <w:r w:rsidR="00000000">
        <w:t xml:space="preserve">fter the write. </w:t>
      </w:r>
    </w:p>
    <w:p w14:paraId="621F1F8C" w14:textId="6E001BCA" w:rsidR="003F0D71" w:rsidRDefault="00000000">
      <w:pPr>
        <w:pStyle w:val="FirstParagraph"/>
      </w:pPr>
      <w:r>
        <w:t>Place hot ISR data in DTCM similarly.</w:t>
      </w:r>
    </w:p>
    <w:p w14:paraId="5F0A30F3" w14:textId="77777777" w:rsidR="003F0D71" w:rsidRDefault="00356D75">
      <w:r>
        <w:rPr>
          <w:noProof/>
        </w:rPr>
        <w:pict w14:anchorId="1688BEBD">
          <v:rect id="_x0000_i1031" alt="" style="width:451.3pt;height:.05pt;mso-width-percent:0;mso-height-percent:0;mso-width-percent:0;mso-height-percent:0" o:hralign="center" o:hrstd="t" o:hr="t"/>
        </w:pict>
      </w:r>
    </w:p>
    <w:p w14:paraId="0AABE007" w14:textId="77777777" w:rsidR="00E46DEF" w:rsidRDefault="00E46DEF">
      <w:pPr>
        <w:pStyle w:val="Heading2"/>
      </w:pPr>
      <w:bookmarkStart w:id="14" w:name="Xc4b0f734bd6a3cb4b58e2271f8a540a25414428"/>
      <w:bookmarkEnd w:id="13"/>
    </w:p>
    <w:p w14:paraId="61A8116A" w14:textId="77777777" w:rsidR="00E46DEF" w:rsidRDefault="00E46DEF">
      <w:pPr>
        <w:pStyle w:val="Heading2"/>
      </w:pPr>
    </w:p>
    <w:p w14:paraId="2504BF95" w14:textId="07B0F6D6" w:rsidR="003F0D71" w:rsidRDefault="00000000">
      <w:pPr>
        <w:pStyle w:val="Heading2"/>
      </w:pPr>
      <w:r>
        <w:t>7) Avionics worked example: ADK‑8582 (ARINC 429) → UART with tight timestamps</w:t>
      </w:r>
    </w:p>
    <w:p w14:paraId="629B2821" w14:textId="77777777" w:rsidR="00E46DEF" w:rsidRDefault="00000000" w:rsidP="00E46DEF">
      <w:pPr>
        <w:pStyle w:val="FirstParagraph"/>
        <w:numPr>
          <w:ilvl w:val="0"/>
          <w:numId w:val="21"/>
        </w:numPr>
      </w:pPr>
      <w:r>
        <w:rPr>
          <w:b/>
          <w:bCs/>
        </w:rPr>
        <w:t>ARINC 429</w:t>
      </w:r>
      <w:r>
        <w:t xml:space="preserve"> (Aeronautical Radio, Incorporated 429) transmits 32‑bit words at </w:t>
      </w:r>
      <w:r>
        <w:rPr>
          <w:b/>
          <w:bCs/>
        </w:rPr>
        <w:t>100 kbps</w:t>
      </w:r>
      <w:r>
        <w:t xml:space="preserve"> (10 µs/bit) or </w:t>
      </w:r>
      <w:r>
        <w:rPr>
          <w:b/>
          <w:bCs/>
        </w:rPr>
        <w:t>12.5 kbps</w:t>
      </w:r>
      <w:r>
        <w:t xml:space="preserve"> (80 µs/bit). </w:t>
      </w:r>
    </w:p>
    <w:p w14:paraId="33DED4E5" w14:textId="069A2572" w:rsidR="00E46DEF" w:rsidRDefault="00000000" w:rsidP="00E46DEF">
      <w:pPr>
        <w:pStyle w:val="FirstParagraph"/>
        <w:numPr>
          <w:ilvl w:val="0"/>
          <w:numId w:val="21"/>
        </w:numPr>
      </w:pPr>
      <w:r>
        <w:t xml:space="preserve">The </w:t>
      </w:r>
      <w:r>
        <w:rPr>
          <w:b/>
          <w:bCs/>
        </w:rPr>
        <w:t>ADK‑8582</w:t>
      </w:r>
      <w:r>
        <w:t xml:space="preserve"> board decodes ARINC </w:t>
      </w:r>
      <w:proofErr w:type="gramStart"/>
      <w:r>
        <w:t>429</w:t>
      </w:r>
      <w:proofErr w:type="gramEnd"/>
      <w:r>
        <w:t xml:space="preserve"> and streams decoded words over </w:t>
      </w:r>
      <w:r>
        <w:rPr>
          <w:b/>
          <w:bCs/>
        </w:rPr>
        <w:t>LPUART</w:t>
      </w:r>
      <w:r>
        <w:t xml:space="preserve"> (Low‑Power Universal Asynchronous Receiver/Transmitter). </w:t>
      </w:r>
    </w:p>
    <w:p w14:paraId="423680C9" w14:textId="78B787BA" w:rsidR="003F0D71" w:rsidRDefault="00000000" w:rsidP="00E46DEF">
      <w:pPr>
        <w:pStyle w:val="FirstParagraph"/>
        <w:numPr>
          <w:ilvl w:val="0"/>
          <w:numId w:val="21"/>
        </w:numPr>
      </w:pPr>
      <w:r>
        <w:t xml:space="preserve">We must avoid RX overruns during bursts and timestamp labels within, say, </w:t>
      </w:r>
      <w:r>
        <w:rPr>
          <w:b/>
          <w:bCs/>
        </w:rPr>
        <w:t>≤ 5 µs</w:t>
      </w:r>
      <w:r>
        <w:t xml:space="preserve"> at 100 kbps.</w:t>
      </w:r>
    </w:p>
    <w:p w14:paraId="13F4D8A8" w14:textId="77777777" w:rsidR="002D5961" w:rsidRDefault="00000000">
      <w:pPr>
        <w:pStyle w:val="BodyText"/>
      </w:pPr>
      <w:r>
        <w:rPr>
          <w:b/>
          <w:bCs/>
        </w:rPr>
        <w:t>Deterministic architecture</w:t>
      </w:r>
      <w:r>
        <w:t xml:space="preserve">: - </w:t>
      </w:r>
    </w:p>
    <w:p w14:paraId="31815ABD" w14:textId="6EEF644E" w:rsidR="002D5961" w:rsidRDefault="00000000" w:rsidP="00E46DEF">
      <w:pPr>
        <w:pStyle w:val="BodyText"/>
        <w:numPr>
          <w:ilvl w:val="0"/>
          <w:numId w:val="20"/>
        </w:numPr>
      </w:pPr>
      <w:r>
        <w:rPr>
          <w:b/>
          <w:bCs/>
        </w:rPr>
        <w:t>Timestamp is sovereign</w:t>
      </w:r>
      <w:r>
        <w:t xml:space="preserve">: GPT ISR in ITCM at priority 1; it only captures time and marks boundaries.  </w:t>
      </w:r>
    </w:p>
    <w:p w14:paraId="374A90DB" w14:textId="193DB257" w:rsidR="002D5961" w:rsidRDefault="00000000" w:rsidP="00E46DEF">
      <w:pPr>
        <w:pStyle w:val="BodyText"/>
        <w:numPr>
          <w:ilvl w:val="0"/>
          <w:numId w:val="20"/>
        </w:numPr>
      </w:pPr>
      <w:r>
        <w:rPr>
          <w:b/>
          <w:bCs/>
        </w:rPr>
        <w:t>Bulk RX via EDMA</w:t>
      </w:r>
      <w:r>
        <w:t xml:space="preserve">: LPUART uses EDMA into </w:t>
      </w:r>
      <w:r>
        <w:rPr>
          <w:b/>
          <w:bCs/>
        </w:rPr>
        <w:t>non‑cacheable</w:t>
      </w:r>
      <w:r>
        <w:t xml:space="preserve"> rings; the EDMA completion ISR (priority 3–5) advances pointers and stores a concise “buffer‑ready @ time T” record. </w:t>
      </w:r>
    </w:p>
    <w:p w14:paraId="3FF767B3" w14:textId="11F32120" w:rsidR="003F0D71" w:rsidRDefault="00000000" w:rsidP="00E46DEF">
      <w:pPr>
        <w:pStyle w:val="BodyText"/>
        <w:numPr>
          <w:ilvl w:val="0"/>
          <w:numId w:val="20"/>
        </w:numPr>
      </w:pPr>
      <w:r>
        <w:rPr>
          <w:b/>
          <w:bCs/>
        </w:rPr>
        <w:t>Parsing in thread context</w:t>
      </w:r>
      <w:r>
        <w:t xml:space="preserve">: label decoding and parity checks happen outside ISRs; short </w:t>
      </w:r>
      <w:r>
        <w:rPr>
          <w:rStyle w:val="VerbatimChar"/>
        </w:rPr>
        <w:t>BASEPRI</w:t>
      </w:r>
      <w:r>
        <w:t xml:space="preserve"> regions protect pointer swaps without globally masking.</w:t>
      </w:r>
    </w:p>
    <w:p w14:paraId="5F46B472" w14:textId="77777777" w:rsidR="009478AC" w:rsidRDefault="009478AC">
      <w:pPr>
        <w:pStyle w:val="BodyText"/>
        <w:rPr>
          <w:b/>
          <w:bCs/>
        </w:rPr>
      </w:pPr>
    </w:p>
    <w:p w14:paraId="36DCF37F" w14:textId="77777777" w:rsidR="009478AC" w:rsidRDefault="009478AC">
      <w:pPr>
        <w:pStyle w:val="BodyText"/>
        <w:rPr>
          <w:b/>
          <w:bCs/>
        </w:rPr>
      </w:pPr>
    </w:p>
    <w:p w14:paraId="11521F36" w14:textId="36856769" w:rsidR="003F0D71" w:rsidRDefault="00000000">
      <w:pPr>
        <w:pStyle w:val="BodyText"/>
      </w:pPr>
      <w:r>
        <w:rPr>
          <w:b/>
          <w:bCs/>
        </w:rPr>
        <w:t>SDK‑style skeleton</w:t>
      </w:r>
    </w:p>
    <w:p w14:paraId="168424A6" w14:textId="77777777" w:rsidR="003F0D71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"fsl_cache.h"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NormalTok"/>
        </w:rPr>
        <w:t>AT_NONCACHEABLE_SECTION_ALIGN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s_rxRing</w:t>
      </w:r>
      <w:r>
        <w:rPr>
          <w:rStyle w:val="OperatorTok"/>
        </w:rPr>
        <w:t>[</w:t>
      </w:r>
      <w:r>
        <w:rPr>
          <w:rStyle w:val="DecValTok"/>
        </w:rPr>
        <w:t>2048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edma_handle_t           s_edmaHandle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lpuart_edma_handle_t    s_lpuartEdmaHandle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UART_EDMA_UserCallback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lpuart_edma_handle_t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status_t 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userData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handle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userData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kStatus_LPUART_RxIdle </w:t>
      </w:r>
      <w:r>
        <w:rPr>
          <w:rStyle w:val="OperatorTok"/>
        </w:rPr>
        <w:t>||</w:t>
      </w:r>
      <w:r>
        <w:rPr>
          <w:rStyle w:val="NormalTok"/>
        </w:rPr>
        <w:t xml:space="preserve"> 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kStatus_LPUART_IdleLineDetected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tstamp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minimal timestamp */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record {buffer_index, tstamp}; do not parse here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UART_Rx_EDMA_Init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kCLOCK_Dma0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kCLOCK_Dmamux0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DMAMUX_Init</w:t>
      </w:r>
      <w:r>
        <w:rPr>
          <w:rStyle w:val="OperatorTok"/>
        </w:rPr>
        <w:t>(</w:t>
      </w:r>
      <w:r>
        <w:rPr>
          <w:rStyle w:val="NormalTok"/>
        </w:rPr>
        <w:t>DMAMUX0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EDMA_Init</w:t>
      </w:r>
      <w:r>
        <w:rPr>
          <w:rStyle w:val="OperatorTok"/>
        </w:rPr>
        <w:t>(</w:t>
      </w:r>
      <w:r>
        <w:rPr>
          <w:rStyle w:val="NormalTok"/>
        </w:rPr>
        <w:t>DMA0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rPr>
          <w:rStyle w:val="NormalTok"/>
        </w:rPr>
        <w:t xml:space="preserve">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EDMA_CreateHandle</w:t>
      </w:r>
      <w:r>
        <w:rPr>
          <w:rStyle w:val="OperatorTok"/>
        </w:rPr>
        <w:t>(&amp;</w:t>
      </w:r>
      <w:r>
        <w:rPr>
          <w:rStyle w:val="NormalTok"/>
        </w:rPr>
        <w:t>s_edmaHandle</w:t>
      </w:r>
      <w:r>
        <w:rPr>
          <w:rStyle w:val="OperatorTok"/>
        </w:rPr>
        <w:t>,</w:t>
      </w:r>
      <w:r>
        <w:rPr>
          <w:rStyle w:val="NormalTok"/>
        </w:rPr>
        <w:t xml:space="preserve"> DMA0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LPUART_TransferCreateHandleEDMA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s_lpuartEdmaHandle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UART_EDMA_UserCallback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>&amp;</w:t>
      </w:r>
      <w:r>
        <w:rPr>
          <w:rStyle w:val="NormalTok"/>
        </w:rPr>
        <w:t>s_edmaHandle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lpuart_transfer_t xfer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s_rxRing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s_rxRing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LPUART_TransferReceiveEDMA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s_lpuartEdmaHandle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DMA0_0_IRQn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below GPT, above UART */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LPUART1_IRQn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67EB976" w14:textId="77777777" w:rsidR="003F0D71" w:rsidRDefault="00000000">
      <w:pPr>
        <w:pStyle w:val="FirstParagraph"/>
      </w:pPr>
      <w:r>
        <w:rPr>
          <w:b/>
          <w:bCs/>
        </w:rPr>
        <w:t>Why this minimizes jitter</w:t>
      </w:r>
      <w:r>
        <w:t xml:space="preserve">: the timestamp ISR always preempts because the system uses </w:t>
      </w:r>
      <w:r>
        <w:rPr>
          <w:rStyle w:val="VerbatimChar"/>
        </w:rPr>
        <w:t>BASEPRI</w:t>
      </w:r>
      <w:r>
        <w:t>, not global masking; its code/data run from TCM; UART traffic does not generate per‑byte interrupts; DMA buffers are non‑cacheable, avoiding unpredictable cache maintenance in ISRs.</w:t>
      </w:r>
    </w:p>
    <w:p w14:paraId="269DD6CF" w14:textId="77777777" w:rsidR="003F0D71" w:rsidRDefault="00356D75">
      <w:r>
        <w:rPr>
          <w:noProof/>
        </w:rPr>
        <w:pict w14:anchorId="7B715EFD">
          <v:rect id="_x0000_i1030" alt="" style="width:451.3pt;height:.05pt;mso-width-percent:0;mso-height-percent:0;mso-width-percent:0;mso-height-percent:0" o:hralign="center" o:hrstd="t" o:hr="t"/>
        </w:pict>
      </w:r>
    </w:p>
    <w:p w14:paraId="10468F1B" w14:textId="77777777" w:rsidR="003F0D71" w:rsidRDefault="00000000">
      <w:pPr>
        <w:pStyle w:val="Heading2"/>
      </w:pPr>
      <w:bookmarkStart w:id="15" w:name="handson-labs-with-mcuxpresso-sdk-paths"/>
      <w:bookmarkEnd w:id="14"/>
      <w:r>
        <w:t>8) Hands‑on labs (with MCUXpresso SDK paths)</w:t>
      </w:r>
    </w:p>
    <w:p w14:paraId="7DECB25B" w14:textId="77777777" w:rsidR="003F0D71" w:rsidRDefault="00000000">
      <w:pPr>
        <w:pStyle w:val="FirstParagraph"/>
      </w:pPr>
      <w:r>
        <w:rPr>
          <w:b/>
          <w:bCs/>
        </w:rPr>
        <w:t>A. Baseline latency &amp; jitter with GPT</w:t>
      </w:r>
      <w:r>
        <w:br/>
        <w:t xml:space="preserve">Start from </w:t>
      </w:r>
      <w:r>
        <w:rPr>
          <w:rStyle w:val="VerbatimChar"/>
        </w:rPr>
        <w:t>boards/evkbimxrt1050/driver_examples/gpt/timer/</w:t>
      </w:r>
      <w:r>
        <w:t>. Add the 10 kHz ISR above, place it and vectors in ITCM, and toggle GPIO1_IO09 on entry/exit. Measure min/mean/max and p99.9 under idle.</w:t>
      </w:r>
    </w:p>
    <w:p w14:paraId="7C834C0F" w14:textId="77777777" w:rsidR="003F0D71" w:rsidRDefault="00000000">
      <w:pPr>
        <w:pStyle w:val="BodyText"/>
      </w:pPr>
      <w:r>
        <w:rPr>
          <w:b/>
          <w:bCs/>
        </w:rPr>
        <w:lastRenderedPageBreak/>
        <w:t>B. Stress with UART floods (interrupt mode)</w:t>
      </w:r>
      <w:r>
        <w:br/>
        <w:t xml:space="preserve">Start from </w:t>
      </w:r>
      <w:r>
        <w:rPr>
          <w:rStyle w:val="VerbatimChar"/>
        </w:rPr>
        <w:t>boards/evkbimxrt1050/driver_examples/lpuart/interrupt/</w:t>
      </w:r>
      <w:r>
        <w:t xml:space="preserve">. Flood RX at 1–2 Mbps. Compare jitter when background code uses </w:t>
      </w:r>
      <w:r>
        <w:rPr>
          <w:rStyle w:val="VerbatimChar"/>
          <w:b/>
          <w:bCs/>
        </w:rPr>
        <w:t>BASEPRI</w:t>
      </w:r>
      <w:r>
        <w:t xml:space="preserve"> vs. global masking (</w:t>
      </w:r>
      <w:r>
        <w:rPr>
          <w:rStyle w:val="VerbatimChar"/>
        </w:rPr>
        <w:t>__disable_irq()</w:t>
      </w:r>
      <w:r>
        <w:t>): the latter inflates jitter.</w:t>
      </w:r>
    </w:p>
    <w:p w14:paraId="5409D728" w14:textId="77777777" w:rsidR="003F0D71" w:rsidRDefault="00000000">
      <w:pPr>
        <w:pStyle w:val="BodyText"/>
      </w:pPr>
      <w:r>
        <w:rPr>
          <w:b/>
          <w:bCs/>
        </w:rPr>
        <w:t>C. Switch UART RX to EDMA</w:t>
      </w:r>
      <w:r>
        <w:br/>
        <w:t xml:space="preserve">Start from </w:t>
      </w:r>
      <w:r>
        <w:rPr>
          <w:rStyle w:val="VerbatimChar"/>
        </w:rPr>
        <w:t>boards/evkbimxrt1050/cmsis_driver_examples/lpuart/edma_transfer/</w:t>
      </w:r>
      <w:r>
        <w:t xml:space="preserve">. Use </w:t>
      </w:r>
      <w:r>
        <w:rPr>
          <w:rStyle w:val="VerbatimChar"/>
        </w:rPr>
        <w:t>AT_NONCACHEABLE_SECTION_ALIGN</w:t>
      </w:r>
      <w:r>
        <w:t xml:space="preserve"> for RX rings; keep the EDMA callback minimal and timestamp it with GPT. Jitter improves due to lower interrupt pressure and short ISRs.</w:t>
      </w:r>
    </w:p>
    <w:p w14:paraId="188FEF2D" w14:textId="77777777" w:rsidR="003F0D71" w:rsidRDefault="00000000">
      <w:pPr>
        <w:pStyle w:val="BodyText"/>
      </w:pPr>
      <w:r>
        <w:rPr>
          <w:b/>
          <w:bCs/>
        </w:rPr>
        <w:t>D. ARINC 429 end‑to‑end with ADK‑8582</w:t>
      </w:r>
      <w:r>
        <w:br/>
        <w:t xml:space="preserve">Connect ADK‑8582 to LPUART. Keep GPT ISR at priority 1 (ITCM), EDMA at 3–5, UART at 5–7. Demonstrate </w:t>
      </w:r>
      <w:r>
        <w:rPr>
          <w:b/>
          <w:bCs/>
        </w:rPr>
        <w:t>zero RX overrun</w:t>
      </w:r>
      <w:r>
        <w:t xml:space="preserve"> during a scripted 100 kbps burst and timestamp error ≤ 5 µs.</w:t>
      </w:r>
    </w:p>
    <w:p w14:paraId="64D75C6D" w14:textId="77777777" w:rsidR="003F0D71" w:rsidRDefault="00356D75">
      <w:r>
        <w:rPr>
          <w:noProof/>
        </w:rPr>
        <w:pict w14:anchorId="4D55C774">
          <v:rect id="_x0000_i1029" alt="" style="width:451.3pt;height:.05pt;mso-width-percent:0;mso-height-percent:0;mso-width-percent:0;mso-height-percent:0" o:hralign="center" o:hrstd="t" o:hr="t"/>
        </w:pict>
      </w:r>
    </w:p>
    <w:p w14:paraId="35019B96" w14:textId="77777777" w:rsidR="003F0D71" w:rsidRDefault="00000000">
      <w:pPr>
        <w:pStyle w:val="Heading2"/>
      </w:pPr>
      <w:bookmarkStart w:id="16" w:name="best-practices-with-reasons"/>
      <w:bookmarkEnd w:id="15"/>
      <w:r>
        <w:t>9) Best practices (with reasons)</w:t>
      </w:r>
    </w:p>
    <w:p w14:paraId="19BAA91A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Tiny, constant‑time ISRs</w:t>
      </w:r>
      <w:r>
        <w:t>: acknowledge, timestamp, queue, exit. Parsing/logging in bottom halves only.</w:t>
      </w:r>
      <w:r>
        <w:br/>
      </w:r>
    </w:p>
    <w:p w14:paraId="28F61B98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Prefer </w:t>
      </w:r>
      <w:r>
        <w:rPr>
          <w:rStyle w:val="VerbatimChar"/>
          <w:b/>
          <w:bCs/>
        </w:rPr>
        <w:t>BASEPRI</w:t>
      </w:r>
      <w:r>
        <w:rPr>
          <w:b/>
          <w:bCs/>
        </w:rPr>
        <w:t xml:space="preserve"> to </w:t>
      </w:r>
      <w:r>
        <w:rPr>
          <w:rStyle w:val="VerbatimChar"/>
          <w:b/>
          <w:bCs/>
        </w:rPr>
        <w:t>PRIMASK</w:t>
      </w:r>
      <w:r>
        <w:t>: allow lifeline ISR preemption; jitter collapses when you stop pausing the world.</w:t>
      </w:r>
      <w:r>
        <w:br/>
      </w:r>
    </w:p>
    <w:p w14:paraId="048D6532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ITCM/DTCM for critical paths</w:t>
      </w:r>
      <w:r>
        <w:t>: removes XIP/cache/AXI variability.</w:t>
      </w:r>
      <w:r>
        <w:br/>
      </w:r>
    </w:p>
    <w:p w14:paraId="3F6FF3E0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Non‑cacheable DMA rings</w:t>
      </w:r>
      <w:r>
        <w:t>: the simplest deterministic coherency model.</w:t>
      </w:r>
      <w:r>
        <w:br/>
      </w:r>
    </w:p>
    <w:p w14:paraId="44EBA181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No </w:t>
      </w:r>
      <w:r>
        <w:rPr>
          <w:rStyle w:val="VerbatimChar"/>
          <w:b/>
          <w:bCs/>
        </w:rPr>
        <w:t>printf</w:t>
      </w:r>
      <w:r>
        <w:rPr>
          <w:b/>
          <w:bCs/>
        </w:rPr>
        <w:t xml:space="preserve"> or allocation in ISRs</w:t>
      </w:r>
      <w:r>
        <w:t>: unbounded latency and cache churn.</w:t>
      </w:r>
      <w:r>
        <w:br/>
      </w:r>
    </w:p>
    <w:p w14:paraId="1E9FB67F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Written priority map</w:t>
      </w:r>
      <w:r>
        <w:t>: avoid accidental inversions; treat priorities as architecture, not a tweak.</w:t>
      </w:r>
      <w:r>
        <w:br/>
      </w:r>
    </w:p>
    <w:p w14:paraId="7028D770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Program periodic timers from previous deadline</w:t>
      </w:r>
      <w:r>
        <w:t>: prevents phase drift and jitter accumulation.</w:t>
      </w:r>
      <w:r>
        <w:br/>
      </w:r>
    </w:p>
    <w:p w14:paraId="69DDD175" w14:textId="77777777" w:rsidR="003F0D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Instrument and keep distributions</w:t>
      </w:r>
      <w:r>
        <w:t>: worst‑case and p99.9 are design‑closing numbers; means are not.</w:t>
      </w:r>
    </w:p>
    <w:p w14:paraId="7DB95363" w14:textId="77777777" w:rsidR="003F0D71" w:rsidRDefault="00356D75">
      <w:r>
        <w:rPr>
          <w:noProof/>
        </w:rPr>
        <w:pict w14:anchorId="7992A191">
          <v:rect id="_x0000_i1028" alt="" style="width:451.3pt;height:.05pt;mso-width-percent:0;mso-height-percent:0;mso-width-percent:0;mso-height-percent:0" o:hralign="center" o:hrstd="t" o:hr="t"/>
        </w:pict>
      </w:r>
    </w:p>
    <w:p w14:paraId="49C0EDA8" w14:textId="77777777" w:rsidR="003F0D71" w:rsidRDefault="00000000">
      <w:pPr>
        <w:pStyle w:val="Heading2"/>
      </w:pPr>
      <w:bookmarkStart w:id="17" w:name="acceptance-criteria-and-verification"/>
      <w:bookmarkEnd w:id="16"/>
      <w:r>
        <w:lastRenderedPageBreak/>
        <w:t>10) Acceptance criteria and verification</w:t>
      </w:r>
    </w:p>
    <w:p w14:paraId="096A2711" w14:textId="77777777" w:rsidR="003F0D7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Latency</w:t>
      </w:r>
      <w:r>
        <w:t xml:space="preserve">: GPT compare ISR worst‑case entry ≤ </w:t>
      </w:r>
      <w:r>
        <w:rPr>
          <w:b/>
          <w:bCs/>
        </w:rPr>
        <w:t>2 µs</w:t>
      </w:r>
      <w:r>
        <w:t xml:space="preserve"> (example budget) at 600 MHz core; measured over ≥ 10^6 events with UART/DMA load present.</w:t>
      </w:r>
      <w:r>
        <w:br/>
      </w:r>
    </w:p>
    <w:p w14:paraId="48697345" w14:textId="77777777" w:rsidR="003F0D7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Jitter</w:t>
      </w:r>
      <w:r>
        <w:t xml:space="preserve">: p99.9 of entry latency ≤ </w:t>
      </w:r>
      <w:r>
        <w:rPr>
          <w:b/>
          <w:bCs/>
        </w:rPr>
        <w:t>0.5 µs</w:t>
      </w:r>
      <w:r>
        <w:t>.</w:t>
      </w:r>
      <w:r>
        <w:br/>
      </w:r>
    </w:p>
    <w:p w14:paraId="1077EB78" w14:textId="77777777" w:rsidR="003F0D7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No data loss</w:t>
      </w:r>
      <w:r>
        <w:t xml:space="preserve">: 0 LPUART RX overruns during </w:t>
      </w:r>
      <w:r>
        <w:rPr>
          <w:b/>
          <w:bCs/>
        </w:rPr>
        <w:t>N</w:t>
      </w:r>
      <w:r>
        <w:t xml:space="preserve"> minutes with worst‑case ARINC 429 bursts.</w:t>
      </w:r>
      <w:r>
        <w:br/>
      </w:r>
    </w:p>
    <w:p w14:paraId="6391266B" w14:textId="77777777" w:rsidR="003F0D7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Regression guard</w:t>
      </w:r>
      <w:r>
        <w:t>: testbench fails build if worst‑case widens by &gt;10% from baseline.</w:t>
      </w:r>
    </w:p>
    <w:p w14:paraId="527BD02E" w14:textId="77777777" w:rsidR="003F0D71" w:rsidRDefault="00356D75">
      <w:r>
        <w:rPr>
          <w:noProof/>
        </w:rPr>
        <w:pict w14:anchorId="6E82F13B">
          <v:rect id="_x0000_i1027" alt="" style="width:451.3pt;height:.05pt;mso-width-percent:0;mso-height-percent:0;mso-width-percent:0;mso-height-percent:0" o:hralign="center" o:hrstd="t" o:hr="t"/>
        </w:pict>
      </w:r>
    </w:p>
    <w:p w14:paraId="72EE5178" w14:textId="77777777" w:rsidR="003F0D71" w:rsidRDefault="00000000">
      <w:pPr>
        <w:pStyle w:val="Heading2"/>
      </w:pPr>
      <w:bookmarkStart w:id="18" w:name="troubleshooting-guide"/>
      <w:bookmarkEnd w:id="17"/>
      <w:r>
        <w:t>11) Troubleshooting guide</w:t>
      </w:r>
    </w:p>
    <w:p w14:paraId="3BB863DA" w14:textId="77777777" w:rsidR="003F0D7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Rare long outlier on first ISR run</w:t>
      </w:r>
      <w:r>
        <w:t xml:space="preserve"> → FPU lazy stacking. </w:t>
      </w:r>
      <w:r>
        <w:rPr>
          <w:b/>
          <w:bCs/>
        </w:rPr>
        <w:t>Fix</w:t>
      </w:r>
      <w:r>
        <w:t>: ban floats in ISRs or disable lazy stacking to pay a constant cost.</w:t>
      </w:r>
      <w:r>
        <w:br/>
      </w:r>
    </w:p>
    <w:p w14:paraId="2BDB7465" w14:textId="77777777" w:rsidR="003F0D7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Heavy tail only with XIP</w:t>
      </w:r>
      <w:r>
        <w:t xml:space="preserve"> → I‑cache/AXI variance. </w:t>
      </w:r>
      <w:r>
        <w:rPr>
          <w:b/>
          <w:bCs/>
        </w:rPr>
        <w:t>Fix</w:t>
      </w:r>
      <w:r>
        <w:t>: move vectors/ISR to ITCM; keep hot data in DTCM.</w:t>
      </w:r>
      <w:r>
        <w:br/>
      </w:r>
    </w:p>
    <w:p w14:paraId="1D0D0423" w14:textId="77777777" w:rsidR="003F0D7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Timing drift over minutes</w:t>
      </w:r>
      <w:r>
        <w:t xml:space="preserve"> → scheduled from </w:t>
      </w:r>
      <w:r>
        <w:rPr>
          <w:rStyle w:val="VerbatimChar"/>
        </w:rPr>
        <w:t>now + period</w:t>
      </w:r>
      <w:r>
        <w:t xml:space="preserve">. </w:t>
      </w:r>
      <w:r>
        <w:rPr>
          <w:b/>
          <w:bCs/>
        </w:rPr>
        <w:t>Fix</w:t>
      </w:r>
      <w:r>
        <w:t xml:space="preserve">: schedule </w:t>
      </w:r>
      <w:r>
        <w:rPr>
          <w:rStyle w:val="VerbatimChar"/>
        </w:rPr>
        <w:t>previous + period</w:t>
      </w:r>
      <w:r>
        <w:t>.</w:t>
      </w:r>
      <w:r>
        <w:br/>
      </w:r>
    </w:p>
    <w:p w14:paraId="17646418" w14:textId="77777777" w:rsidR="003F0D7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UART overruns under load</w:t>
      </w:r>
      <w:r>
        <w:t xml:space="preserve"> → per‑byte RX interrupts or cacheable DMA. </w:t>
      </w:r>
      <w:r>
        <w:rPr>
          <w:b/>
          <w:bCs/>
        </w:rPr>
        <w:t>Fix</w:t>
      </w:r>
      <w:r>
        <w:t>: EDMA + non‑cacheable rings.</w:t>
      </w:r>
      <w:r>
        <w:br/>
      </w:r>
    </w:p>
    <w:p w14:paraId="0160BB19" w14:textId="77777777" w:rsidR="003F0D7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Stale or duplicated DMA data</w:t>
      </w:r>
      <w:r>
        <w:t xml:space="preserve"> → missing cache maintenance. </w:t>
      </w:r>
      <w:r>
        <w:rPr>
          <w:b/>
          <w:bCs/>
        </w:rPr>
        <w:t>Fix</w:t>
      </w:r>
      <w:r>
        <w:t>: non‑cacheable buffers or explicit clean/invalidate + barriers.</w:t>
      </w:r>
    </w:p>
    <w:p w14:paraId="76F66168" w14:textId="77777777" w:rsidR="003F0D71" w:rsidRDefault="00356D75">
      <w:r>
        <w:rPr>
          <w:noProof/>
        </w:rPr>
        <w:pict w14:anchorId="6BEC1EBA">
          <v:rect id="_x0000_i1026" alt="" style="width:451.3pt;height:.05pt;mso-width-percent:0;mso-height-percent:0;mso-width-percent:0;mso-height-percent:0" o:hralign="center" o:hrstd="t" o:hr="t"/>
        </w:pict>
      </w:r>
    </w:p>
    <w:p w14:paraId="6503BCE1" w14:textId="77777777" w:rsidR="003F0D71" w:rsidRDefault="00000000">
      <w:pPr>
        <w:pStyle w:val="Heading2"/>
      </w:pPr>
      <w:bookmarkStart w:id="19" w:name="reusable-snippets-sdkcompatible"/>
      <w:bookmarkEnd w:id="18"/>
      <w:r>
        <w:t>12) Reusable snippets (SDK‑compatible)</w:t>
      </w:r>
    </w:p>
    <w:p w14:paraId="5B71F0E8" w14:textId="77777777" w:rsidR="003F0D71" w:rsidRDefault="00000000">
      <w:pPr>
        <w:pStyle w:val="FirstParagraph"/>
      </w:pPr>
      <w:r>
        <w:rPr>
          <w:b/>
          <w:bCs/>
        </w:rPr>
        <w:t xml:space="preserve">Enable DWT </w:t>
      </w:r>
      <w:r>
        <w:rPr>
          <w:rStyle w:val="VerbatimChar"/>
          <w:b/>
          <w:bCs/>
        </w:rPr>
        <w:t>CYCCNT</w:t>
      </w:r>
    </w:p>
    <w:p w14:paraId="3D33E712" w14:textId="77777777" w:rsidR="003F0D71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probe presence */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B3481DF" w14:textId="77777777" w:rsidR="003F0D71" w:rsidRDefault="00000000">
      <w:pPr>
        <w:pStyle w:val="FirstParagraph"/>
      </w:pPr>
      <w:r>
        <w:rPr>
          <w:rStyle w:val="VerbatimChar"/>
          <w:b/>
          <w:bCs/>
        </w:rPr>
        <w:t>BASEPRI</w:t>
      </w:r>
      <w:r>
        <w:rPr>
          <w:b/>
          <w:bCs/>
        </w:rPr>
        <w:t xml:space="preserve"> helpers</w:t>
      </w:r>
    </w:p>
    <w:p w14:paraId="786703CD" w14:textId="77777777" w:rsidR="003F0D71" w:rsidRDefault="00000000">
      <w:pPr>
        <w:pStyle w:val="SourceCode"/>
      </w:pP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irq_lock_basepri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prio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old </w:t>
      </w:r>
      <w:r>
        <w:rPr>
          <w:rStyle w:val="OperatorTok"/>
        </w:rPr>
        <w:t>=</w:t>
      </w:r>
      <w:r>
        <w:rPr>
          <w:rStyle w:val="NormalTok"/>
        </w:rPr>
        <w:t xml:space="preserve"> __get_BASEPRI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__set_BASEPRI</w:t>
      </w:r>
      <w:r>
        <w:rPr>
          <w:rStyle w:val="OperatorTok"/>
        </w:rPr>
        <w:t>(</w:t>
      </w:r>
      <w:r>
        <w:rPr>
          <w:rStyle w:val="NormalTok"/>
        </w:rPr>
        <w:t xml:space="preserve">prio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__NVIC_PRIO_BITS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old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irq_unlock_basepri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old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__set_BASEPRI</w:t>
      </w:r>
      <w:r>
        <w:rPr>
          <w:rStyle w:val="OperatorTok"/>
        </w:rPr>
        <w:t>(</w:t>
      </w:r>
      <w:r>
        <w:rPr>
          <w:rStyle w:val="NormalTok"/>
        </w:rPr>
        <w:t>old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2309CDBB" w14:textId="77777777" w:rsidR="003F0D71" w:rsidRDefault="00000000">
      <w:pPr>
        <w:pStyle w:val="FirstParagraph"/>
      </w:pPr>
      <w:r>
        <w:rPr>
          <w:b/>
          <w:bCs/>
        </w:rPr>
        <w:t>Non‑cacheable DMA buffers</w:t>
      </w:r>
    </w:p>
    <w:p w14:paraId="4A2634F5" w14:textId="77777777" w:rsidR="003F0D71" w:rsidRDefault="00000000">
      <w:pPr>
        <w:pStyle w:val="SourceCode"/>
      </w:pPr>
      <w:r>
        <w:rPr>
          <w:rStyle w:val="NormalTok"/>
        </w:rPr>
        <w:t>AT_NONCACHEABLE_SECTION_ALIGN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s_dmaRing</w:t>
      </w:r>
      <w:r>
        <w:rPr>
          <w:rStyle w:val="OperatorTok"/>
        </w:rPr>
        <w:t>[</w:t>
      </w:r>
      <w:r>
        <w:rPr>
          <w:rStyle w:val="DecValTok"/>
        </w:rPr>
        <w:t>2048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</w:p>
    <w:p w14:paraId="36CA736C" w14:textId="77777777" w:rsidR="003F0D71" w:rsidRDefault="00000000">
      <w:pPr>
        <w:pStyle w:val="FirstParagraph"/>
      </w:pPr>
      <w:r>
        <w:rPr>
          <w:b/>
          <w:bCs/>
        </w:rPr>
        <w:t>Relocate vector table to ITCM</w:t>
      </w:r>
    </w:p>
    <w:p w14:paraId="0FBAB69A" w14:textId="77777777" w:rsidR="003F0D71" w:rsidRDefault="00000000">
      <w:pPr>
        <w:pStyle w:val="SourceCode"/>
      </w:pP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__isr_vector_start__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SCB</w:t>
      </w:r>
      <w:r>
        <w:rPr>
          <w:rStyle w:val="OperatorTok"/>
        </w:rPr>
        <w:t>-&gt;</w:t>
      </w:r>
      <w:r>
        <w:rPr>
          <w:rStyle w:val="NormalTok"/>
        </w:rPr>
        <w:t xml:space="preserve">VTOR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__isr_vector_start__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SCB_VTOR_TBLOFF_Msk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</w:p>
    <w:p w14:paraId="08FBE68C" w14:textId="77777777" w:rsidR="003F0D71" w:rsidRDefault="00356D75">
      <w:r>
        <w:rPr>
          <w:noProof/>
        </w:rPr>
        <w:pict w14:anchorId="773A5631">
          <v:rect id="_x0000_i1025" alt="" style="width:451.3pt;height:.05pt;mso-width-percent:0;mso-height-percent:0;mso-width-percent:0;mso-height-percent:0" o:hralign="center" o:hrstd="t" o:hr="t"/>
        </w:pict>
      </w:r>
    </w:p>
    <w:p w14:paraId="42C84FF7" w14:textId="77777777" w:rsidR="003F0D71" w:rsidRDefault="00000000">
      <w:pPr>
        <w:pStyle w:val="Heading2"/>
      </w:pPr>
      <w:bookmarkStart w:id="20" w:name="closing-thought"/>
      <w:bookmarkEnd w:id="19"/>
      <w:r>
        <w:t>13) Closing thought</w:t>
      </w:r>
    </w:p>
    <w:p w14:paraId="1EE76CE8" w14:textId="77777777" w:rsidR="000B701D" w:rsidRDefault="00000000">
      <w:pPr>
        <w:pStyle w:val="FirstParagraph"/>
      </w:pPr>
      <w:r>
        <w:t xml:space="preserve">Four choices usually get you to avionics‑friendly determinism on i.MX RT1050: </w:t>
      </w:r>
    </w:p>
    <w:p w14:paraId="3D955C34" w14:textId="7B82CC50" w:rsidR="000B701D" w:rsidRDefault="00000000" w:rsidP="000B701D">
      <w:pPr>
        <w:pStyle w:val="FirstParagraph"/>
        <w:numPr>
          <w:ilvl w:val="0"/>
          <w:numId w:val="14"/>
        </w:numPr>
      </w:pPr>
      <w:r>
        <w:t xml:space="preserve">place vectors and critical ISRs in </w:t>
      </w:r>
      <w:r>
        <w:rPr>
          <w:b/>
          <w:bCs/>
        </w:rPr>
        <w:t>ITCM</w:t>
      </w:r>
      <w:r>
        <w:t xml:space="preserve"> with data in </w:t>
      </w:r>
      <w:r>
        <w:rPr>
          <w:b/>
          <w:bCs/>
        </w:rPr>
        <w:t>DTCM</w:t>
      </w:r>
      <w:r>
        <w:t xml:space="preserve">, </w:t>
      </w:r>
    </w:p>
    <w:p w14:paraId="452907FE" w14:textId="4E92CAB7" w:rsidR="000B701D" w:rsidRDefault="00000000" w:rsidP="000B701D">
      <w:pPr>
        <w:pStyle w:val="FirstParagraph"/>
        <w:numPr>
          <w:ilvl w:val="0"/>
          <w:numId w:val="14"/>
        </w:numPr>
      </w:pPr>
      <w:r>
        <w:t xml:space="preserve">use </w:t>
      </w:r>
      <w:r>
        <w:rPr>
          <w:rStyle w:val="VerbatimChar"/>
          <w:b/>
          <w:bCs/>
        </w:rPr>
        <w:t>BASEPRI</w:t>
      </w:r>
      <w:r>
        <w:t xml:space="preserve"> instead of global masking, </w:t>
      </w:r>
    </w:p>
    <w:p w14:paraId="5D76B6A5" w14:textId="70779D74" w:rsidR="000B701D" w:rsidRDefault="00000000" w:rsidP="000B701D">
      <w:pPr>
        <w:pStyle w:val="FirstParagraph"/>
        <w:numPr>
          <w:ilvl w:val="0"/>
          <w:numId w:val="14"/>
        </w:numPr>
      </w:pPr>
      <w:r>
        <w:t xml:space="preserve">keep ISRs tiny and defer work, and </w:t>
      </w:r>
    </w:p>
    <w:p w14:paraId="5BAEFD68" w14:textId="37E05637" w:rsidR="000B701D" w:rsidRDefault="00000000" w:rsidP="000B701D">
      <w:pPr>
        <w:pStyle w:val="FirstParagraph"/>
        <w:numPr>
          <w:ilvl w:val="0"/>
          <w:numId w:val="14"/>
        </w:numPr>
      </w:pPr>
      <w:r>
        <w:t xml:space="preserve">handle heavy I/O with </w:t>
      </w:r>
      <w:r>
        <w:rPr>
          <w:b/>
          <w:bCs/>
        </w:rPr>
        <w:t>EDMA</w:t>
      </w:r>
      <w:r>
        <w:t xml:space="preserve"> into </w:t>
      </w:r>
      <w:r>
        <w:rPr>
          <w:b/>
          <w:bCs/>
        </w:rPr>
        <w:t>non‑cacheable</w:t>
      </w:r>
      <w:r>
        <w:t xml:space="preserve"> rings. </w:t>
      </w:r>
    </w:p>
    <w:p w14:paraId="19B09F09" w14:textId="2E49AE43" w:rsidR="003F0D71" w:rsidRDefault="00000000">
      <w:pPr>
        <w:pStyle w:val="FirstParagraph"/>
      </w:pPr>
      <w:r>
        <w:t xml:space="preserve">The labs above, built on your EVKB SDK, let you measure and </w:t>
      </w:r>
      <w:r>
        <w:rPr>
          <w:i/>
          <w:iCs/>
        </w:rPr>
        <w:t>prove</w:t>
      </w:r>
      <w:r>
        <w:t xml:space="preserve"> both latency and jitter budgets for DO‑178C evidence.</w:t>
      </w:r>
      <w:bookmarkEnd w:id="0"/>
      <w:bookmarkEnd w:id="20"/>
    </w:p>
    <w:sectPr w:rsidR="003F0D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132B8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B68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60F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842040"/>
    <w:multiLevelType w:val="hybridMultilevel"/>
    <w:tmpl w:val="C526C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E7F1C"/>
    <w:multiLevelType w:val="hybridMultilevel"/>
    <w:tmpl w:val="6E50782E"/>
    <w:lvl w:ilvl="0" w:tplc="16A6288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C6422"/>
    <w:multiLevelType w:val="hybridMultilevel"/>
    <w:tmpl w:val="4D1CA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6189D"/>
    <w:multiLevelType w:val="hybridMultilevel"/>
    <w:tmpl w:val="F7C631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44421"/>
    <w:multiLevelType w:val="hybridMultilevel"/>
    <w:tmpl w:val="9F4CA634"/>
    <w:lvl w:ilvl="0" w:tplc="16A6288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471F"/>
    <w:multiLevelType w:val="hybridMultilevel"/>
    <w:tmpl w:val="7D7C8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D08C1"/>
    <w:multiLevelType w:val="hybridMultilevel"/>
    <w:tmpl w:val="FD822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B10BB"/>
    <w:multiLevelType w:val="hybridMultilevel"/>
    <w:tmpl w:val="08E48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F7038"/>
    <w:multiLevelType w:val="hybridMultilevel"/>
    <w:tmpl w:val="D19AA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A30ADF"/>
    <w:multiLevelType w:val="hybridMultilevel"/>
    <w:tmpl w:val="72768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67EDB"/>
    <w:multiLevelType w:val="hybridMultilevel"/>
    <w:tmpl w:val="DBB8D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997251">
    <w:abstractNumId w:val="0"/>
  </w:num>
  <w:num w:numId="2" w16cid:durableId="778110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1653989">
    <w:abstractNumId w:val="1"/>
  </w:num>
  <w:num w:numId="4" w16cid:durableId="1000159860">
    <w:abstractNumId w:val="1"/>
  </w:num>
  <w:num w:numId="5" w16cid:durableId="383406352">
    <w:abstractNumId w:val="1"/>
  </w:num>
  <w:num w:numId="6" w16cid:durableId="1814103726">
    <w:abstractNumId w:val="1"/>
  </w:num>
  <w:num w:numId="7" w16cid:durableId="213201326">
    <w:abstractNumId w:val="1"/>
  </w:num>
  <w:num w:numId="8" w16cid:durableId="1242106647">
    <w:abstractNumId w:val="1"/>
  </w:num>
  <w:num w:numId="9" w16cid:durableId="1199009214">
    <w:abstractNumId w:val="1"/>
  </w:num>
  <w:num w:numId="10" w16cid:durableId="1634553418">
    <w:abstractNumId w:val="1"/>
  </w:num>
  <w:num w:numId="11" w16cid:durableId="1707178827">
    <w:abstractNumId w:val="1"/>
  </w:num>
  <w:num w:numId="12" w16cid:durableId="1269390683">
    <w:abstractNumId w:val="1"/>
  </w:num>
  <w:num w:numId="13" w16cid:durableId="1211305317">
    <w:abstractNumId w:val="1"/>
  </w:num>
  <w:num w:numId="14" w16cid:durableId="776752193">
    <w:abstractNumId w:val="6"/>
  </w:num>
  <w:num w:numId="15" w16cid:durableId="1051003517">
    <w:abstractNumId w:val="7"/>
  </w:num>
  <w:num w:numId="16" w16cid:durableId="765343546">
    <w:abstractNumId w:val="12"/>
  </w:num>
  <w:num w:numId="17" w16cid:durableId="1454905665">
    <w:abstractNumId w:val="3"/>
  </w:num>
  <w:num w:numId="18" w16cid:durableId="1224366933">
    <w:abstractNumId w:val="4"/>
  </w:num>
  <w:num w:numId="19" w16cid:durableId="1604191128">
    <w:abstractNumId w:val="5"/>
  </w:num>
  <w:num w:numId="20" w16cid:durableId="466123386">
    <w:abstractNumId w:val="13"/>
  </w:num>
  <w:num w:numId="21" w16cid:durableId="1021394878">
    <w:abstractNumId w:val="9"/>
  </w:num>
  <w:num w:numId="22" w16cid:durableId="108403870">
    <w:abstractNumId w:val="8"/>
  </w:num>
  <w:num w:numId="23" w16cid:durableId="1098867779">
    <w:abstractNumId w:val="11"/>
  </w:num>
  <w:num w:numId="24" w16cid:durableId="1584145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D71"/>
    <w:rsid w:val="000B701D"/>
    <w:rsid w:val="002D5961"/>
    <w:rsid w:val="00356D75"/>
    <w:rsid w:val="003F0D71"/>
    <w:rsid w:val="005373E9"/>
    <w:rsid w:val="005E17C9"/>
    <w:rsid w:val="00874CF6"/>
    <w:rsid w:val="009478AC"/>
    <w:rsid w:val="00E4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415E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2211</Words>
  <Characters>12606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2025-11-12T05:27:00Z</dcterms:created>
  <dcterms:modified xsi:type="dcterms:W3CDTF">2026-01-24T09:24:00Z</dcterms:modified>
</cp:coreProperties>
</file>