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79A5" w:rsidRPr="00826290" w:rsidRDefault="008161D9" w:rsidP="008161D9">
      <w:pPr>
        <w:jc w:val="center"/>
        <w:rPr>
          <w:b/>
        </w:rPr>
      </w:pPr>
      <w:r w:rsidRPr="00826290">
        <w:rPr>
          <w:b/>
        </w:rPr>
        <w:t>Student Lending Forecast Case Study</w:t>
      </w:r>
    </w:p>
    <w:p w:rsidR="008161D9" w:rsidRPr="00826290" w:rsidRDefault="008161D9">
      <w:pPr>
        <w:rPr>
          <w:u w:val="single"/>
        </w:rPr>
      </w:pPr>
      <w:r w:rsidRPr="00826290">
        <w:rPr>
          <w:u w:val="single"/>
        </w:rPr>
        <w:t>Background</w:t>
      </w:r>
    </w:p>
    <w:p w:rsidR="008161D9" w:rsidRDefault="008161D9">
      <w:r>
        <w:t xml:space="preserve">A forecasting spreadsheet developed in Excel by Capital Markets team and maintained by the Analytics team is currently used by the business to develop projections for Student Loan application and funded volume. The spreadsheet uses historical application and funding data, along with factors such as upcoming Marketing campaigns to develop daily forecasts for applications (number of apps and $ volume) as well as </w:t>
      </w:r>
      <w:r w:rsidR="009B1D44">
        <w:t>funded loans</w:t>
      </w:r>
      <w:r>
        <w:t xml:space="preserve"> (number and $ volume).</w:t>
      </w:r>
    </w:p>
    <w:p w:rsidR="008161D9" w:rsidRDefault="008161D9">
      <w:r>
        <w:t>The forecast is</w:t>
      </w:r>
      <w:r w:rsidR="007375DD">
        <w:t xml:space="preserve"> being</w:t>
      </w:r>
      <w:r>
        <w:t xml:space="preserve"> used by the business for variety of decision making, including:</w:t>
      </w:r>
    </w:p>
    <w:p w:rsidR="008161D9" w:rsidRDefault="008161D9" w:rsidP="008161D9">
      <w:pPr>
        <w:pStyle w:val="ListParagraph"/>
        <w:numPr>
          <w:ilvl w:val="0"/>
          <w:numId w:val="1"/>
        </w:numPr>
      </w:pPr>
      <w:r>
        <w:t>Goal setting</w:t>
      </w:r>
    </w:p>
    <w:p w:rsidR="008161D9" w:rsidRDefault="008161D9" w:rsidP="008161D9">
      <w:pPr>
        <w:pStyle w:val="ListParagraph"/>
        <w:numPr>
          <w:ilvl w:val="0"/>
          <w:numId w:val="1"/>
        </w:numPr>
      </w:pPr>
      <w:r>
        <w:t>Tracking actual vs. forecast for assessing health of business</w:t>
      </w:r>
    </w:p>
    <w:p w:rsidR="008161D9" w:rsidRDefault="008161D9" w:rsidP="008161D9">
      <w:pPr>
        <w:pStyle w:val="ListParagraph"/>
        <w:numPr>
          <w:ilvl w:val="0"/>
          <w:numId w:val="1"/>
        </w:numPr>
      </w:pPr>
      <w:r>
        <w:t>Operations capacity planning</w:t>
      </w:r>
    </w:p>
    <w:p w:rsidR="008161D9" w:rsidRDefault="008161D9" w:rsidP="008161D9">
      <w:pPr>
        <w:pStyle w:val="ListParagraph"/>
        <w:numPr>
          <w:ilvl w:val="0"/>
          <w:numId w:val="1"/>
        </w:numPr>
      </w:pPr>
      <w:r>
        <w:t>Inputs into Business Development and Marketing efforts</w:t>
      </w:r>
    </w:p>
    <w:p w:rsidR="008161D9" w:rsidRDefault="008161D9" w:rsidP="008161D9">
      <w:pPr>
        <w:pStyle w:val="ListParagraph"/>
        <w:ind w:left="0"/>
      </w:pPr>
    </w:p>
    <w:p w:rsidR="00826290" w:rsidRDefault="008161D9" w:rsidP="008161D9">
      <w:pPr>
        <w:pStyle w:val="ListParagraph"/>
        <w:ind w:left="0"/>
      </w:pPr>
      <w:r>
        <w:t xml:space="preserve">Over the past few months, especially post-LD1 due to rate changes, the actual funding volume has been tracking significantly higher than the forecast. The immediate impact </w:t>
      </w:r>
      <w:r w:rsidR="00826290">
        <w:t>of this has been felt by the Operations team as the staffing levels are not adequate to process the applications. Processing times have consequently become longer and have impacted customer experience and Net Promoter Scores for the business.</w:t>
      </w:r>
    </w:p>
    <w:tbl>
      <w:tblPr>
        <w:tblW w:w="10767" w:type="dxa"/>
        <w:tblInd w:w="-698" w:type="dxa"/>
        <w:tblLook w:val="04A0" w:firstRow="1" w:lastRow="0" w:firstColumn="1" w:lastColumn="0" w:noHBand="0" w:noVBand="1"/>
      </w:tblPr>
      <w:tblGrid>
        <w:gridCol w:w="1912"/>
        <w:gridCol w:w="805"/>
        <w:gridCol w:w="805"/>
        <w:gridCol w:w="805"/>
        <w:gridCol w:w="805"/>
        <w:gridCol w:w="805"/>
        <w:gridCol w:w="805"/>
        <w:gridCol w:w="805"/>
        <w:gridCol w:w="805"/>
        <w:gridCol w:w="805"/>
        <w:gridCol w:w="805"/>
        <w:gridCol w:w="805"/>
      </w:tblGrid>
      <w:tr w:rsidR="00826290" w:rsidRPr="00826290" w:rsidTr="00826290">
        <w:trPr>
          <w:trHeight w:val="273"/>
        </w:trPr>
        <w:tc>
          <w:tcPr>
            <w:tcW w:w="1912" w:type="dxa"/>
            <w:tcBorders>
              <w:top w:val="nil"/>
              <w:left w:val="nil"/>
              <w:bottom w:val="nil"/>
              <w:right w:val="nil"/>
            </w:tcBorders>
            <w:shd w:val="clear" w:color="000000" w:fill="44546A"/>
            <w:noWrap/>
            <w:vAlign w:val="center"/>
            <w:hideMark/>
          </w:tcPr>
          <w:p w:rsidR="00826290" w:rsidRPr="00826290" w:rsidRDefault="00826290" w:rsidP="00826290">
            <w:pPr>
              <w:spacing w:after="0" w:line="240" w:lineRule="auto"/>
              <w:rPr>
                <w:rFonts w:ascii="Calibri" w:eastAsia="Times New Roman" w:hAnsi="Calibri" w:cs="Calibri"/>
                <w:color w:val="FFFFFF"/>
                <w:sz w:val="20"/>
                <w:szCs w:val="20"/>
              </w:rPr>
            </w:pPr>
            <w:r w:rsidRPr="00826290">
              <w:rPr>
                <w:rFonts w:ascii="Calibri" w:eastAsia="Times New Roman" w:hAnsi="Calibri" w:cs="Calibri"/>
                <w:color w:val="FFFFFF"/>
                <w:sz w:val="20"/>
                <w:szCs w:val="20"/>
              </w:rPr>
              <w:t> </w:t>
            </w:r>
          </w:p>
        </w:tc>
        <w:tc>
          <w:tcPr>
            <w:tcW w:w="805" w:type="dxa"/>
            <w:tcBorders>
              <w:top w:val="nil"/>
              <w:left w:val="nil"/>
              <w:bottom w:val="nil"/>
              <w:right w:val="nil"/>
            </w:tcBorders>
            <w:shd w:val="clear" w:color="000000" w:fill="44546A"/>
            <w:noWrap/>
            <w:vAlign w:val="center"/>
            <w:hideMark/>
          </w:tcPr>
          <w:p w:rsidR="00826290" w:rsidRPr="00826290" w:rsidRDefault="00826290" w:rsidP="00826290">
            <w:pPr>
              <w:spacing w:after="0" w:line="240" w:lineRule="auto"/>
              <w:jc w:val="center"/>
              <w:rPr>
                <w:rFonts w:ascii="Calibri" w:eastAsia="Times New Roman" w:hAnsi="Calibri" w:cs="Calibri"/>
                <w:color w:val="FFFFFF"/>
                <w:sz w:val="20"/>
                <w:szCs w:val="20"/>
              </w:rPr>
            </w:pPr>
            <w:r w:rsidRPr="00826290">
              <w:rPr>
                <w:rFonts w:ascii="Calibri" w:eastAsia="Times New Roman" w:hAnsi="Calibri" w:cs="Calibri"/>
                <w:color w:val="FFFFFF"/>
                <w:sz w:val="20"/>
                <w:szCs w:val="20"/>
              </w:rPr>
              <w:t>Feb</w:t>
            </w:r>
          </w:p>
        </w:tc>
        <w:tc>
          <w:tcPr>
            <w:tcW w:w="805" w:type="dxa"/>
            <w:tcBorders>
              <w:top w:val="nil"/>
              <w:left w:val="nil"/>
              <w:bottom w:val="nil"/>
              <w:right w:val="nil"/>
            </w:tcBorders>
            <w:shd w:val="clear" w:color="000000" w:fill="44546A"/>
            <w:noWrap/>
            <w:vAlign w:val="center"/>
            <w:hideMark/>
          </w:tcPr>
          <w:p w:rsidR="00826290" w:rsidRPr="00826290" w:rsidRDefault="00826290" w:rsidP="00826290">
            <w:pPr>
              <w:spacing w:after="0" w:line="240" w:lineRule="auto"/>
              <w:jc w:val="center"/>
              <w:rPr>
                <w:rFonts w:ascii="Calibri" w:eastAsia="Times New Roman" w:hAnsi="Calibri" w:cs="Calibri"/>
                <w:color w:val="FFFFFF"/>
                <w:sz w:val="20"/>
                <w:szCs w:val="20"/>
              </w:rPr>
            </w:pPr>
            <w:r w:rsidRPr="00826290">
              <w:rPr>
                <w:rFonts w:ascii="Calibri" w:eastAsia="Times New Roman" w:hAnsi="Calibri" w:cs="Calibri"/>
                <w:color w:val="FFFFFF"/>
                <w:sz w:val="20"/>
                <w:szCs w:val="20"/>
              </w:rPr>
              <w:t>Mar</w:t>
            </w:r>
          </w:p>
        </w:tc>
        <w:tc>
          <w:tcPr>
            <w:tcW w:w="805" w:type="dxa"/>
            <w:tcBorders>
              <w:top w:val="nil"/>
              <w:left w:val="nil"/>
              <w:bottom w:val="nil"/>
              <w:right w:val="nil"/>
            </w:tcBorders>
            <w:shd w:val="clear" w:color="000000" w:fill="44546A"/>
            <w:noWrap/>
            <w:vAlign w:val="center"/>
            <w:hideMark/>
          </w:tcPr>
          <w:p w:rsidR="00826290" w:rsidRPr="00826290" w:rsidRDefault="00826290" w:rsidP="00826290">
            <w:pPr>
              <w:spacing w:after="0" w:line="240" w:lineRule="auto"/>
              <w:jc w:val="center"/>
              <w:rPr>
                <w:rFonts w:ascii="Calibri" w:eastAsia="Times New Roman" w:hAnsi="Calibri" w:cs="Calibri"/>
                <w:color w:val="FFFFFF"/>
                <w:sz w:val="20"/>
                <w:szCs w:val="20"/>
              </w:rPr>
            </w:pPr>
            <w:r w:rsidRPr="00826290">
              <w:rPr>
                <w:rFonts w:ascii="Calibri" w:eastAsia="Times New Roman" w:hAnsi="Calibri" w:cs="Calibri"/>
                <w:color w:val="FFFFFF"/>
                <w:sz w:val="20"/>
                <w:szCs w:val="20"/>
              </w:rPr>
              <w:t>Apr</w:t>
            </w:r>
          </w:p>
        </w:tc>
        <w:tc>
          <w:tcPr>
            <w:tcW w:w="805" w:type="dxa"/>
            <w:tcBorders>
              <w:top w:val="nil"/>
              <w:left w:val="nil"/>
              <w:bottom w:val="nil"/>
              <w:right w:val="nil"/>
            </w:tcBorders>
            <w:shd w:val="clear" w:color="000000" w:fill="44546A"/>
            <w:noWrap/>
            <w:vAlign w:val="center"/>
            <w:hideMark/>
          </w:tcPr>
          <w:p w:rsidR="00826290" w:rsidRPr="00826290" w:rsidRDefault="00826290" w:rsidP="00826290">
            <w:pPr>
              <w:spacing w:after="0" w:line="240" w:lineRule="auto"/>
              <w:jc w:val="center"/>
              <w:rPr>
                <w:rFonts w:ascii="Calibri" w:eastAsia="Times New Roman" w:hAnsi="Calibri" w:cs="Calibri"/>
                <w:color w:val="FFFFFF"/>
                <w:sz w:val="20"/>
                <w:szCs w:val="20"/>
              </w:rPr>
            </w:pPr>
            <w:r w:rsidRPr="00826290">
              <w:rPr>
                <w:rFonts w:ascii="Calibri" w:eastAsia="Times New Roman" w:hAnsi="Calibri" w:cs="Calibri"/>
                <w:color w:val="FFFFFF"/>
                <w:sz w:val="20"/>
                <w:szCs w:val="20"/>
              </w:rPr>
              <w:t>May</w:t>
            </w:r>
          </w:p>
        </w:tc>
        <w:tc>
          <w:tcPr>
            <w:tcW w:w="805" w:type="dxa"/>
            <w:tcBorders>
              <w:top w:val="nil"/>
              <w:left w:val="nil"/>
              <w:bottom w:val="nil"/>
              <w:right w:val="nil"/>
            </w:tcBorders>
            <w:shd w:val="clear" w:color="000000" w:fill="44546A"/>
            <w:noWrap/>
            <w:vAlign w:val="center"/>
            <w:hideMark/>
          </w:tcPr>
          <w:p w:rsidR="00826290" w:rsidRPr="00826290" w:rsidRDefault="00826290" w:rsidP="00826290">
            <w:pPr>
              <w:spacing w:after="0" w:line="240" w:lineRule="auto"/>
              <w:jc w:val="center"/>
              <w:rPr>
                <w:rFonts w:ascii="Calibri" w:eastAsia="Times New Roman" w:hAnsi="Calibri" w:cs="Calibri"/>
                <w:color w:val="FFFFFF"/>
                <w:sz w:val="20"/>
                <w:szCs w:val="20"/>
              </w:rPr>
            </w:pPr>
            <w:r w:rsidRPr="00826290">
              <w:rPr>
                <w:rFonts w:ascii="Calibri" w:eastAsia="Times New Roman" w:hAnsi="Calibri" w:cs="Calibri"/>
                <w:color w:val="FFFFFF"/>
                <w:sz w:val="20"/>
                <w:szCs w:val="20"/>
              </w:rPr>
              <w:t>Jun</w:t>
            </w:r>
          </w:p>
        </w:tc>
        <w:tc>
          <w:tcPr>
            <w:tcW w:w="805" w:type="dxa"/>
            <w:tcBorders>
              <w:top w:val="nil"/>
              <w:left w:val="nil"/>
              <w:bottom w:val="nil"/>
              <w:right w:val="nil"/>
            </w:tcBorders>
            <w:shd w:val="clear" w:color="000000" w:fill="44546A"/>
            <w:noWrap/>
            <w:vAlign w:val="center"/>
            <w:hideMark/>
          </w:tcPr>
          <w:p w:rsidR="00826290" w:rsidRPr="00826290" w:rsidRDefault="00826290" w:rsidP="00826290">
            <w:pPr>
              <w:spacing w:after="0" w:line="240" w:lineRule="auto"/>
              <w:jc w:val="center"/>
              <w:rPr>
                <w:rFonts w:ascii="Calibri" w:eastAsia="Times New Roman" w:hAnsi="Calibri" w:cs="Calibri"/>
                <w:color w:val="FFFFFF"/>
                <w:sz w:val="20"/>
                <w:szCs w:val="20"/>
              </w:rPr>
            </w:pPr>
            <w:r w:rsidRPr="00826290">
              <w:rPr>
                <w:rFonts w:ascii="Calibri" w:eastAsia="Times New Roman" w:hAnsi="Calibri" w:cs="Calibri"/>
                <w:color w:val="FFFFFF"/>
                <w:sz w:val="20"/>
                <w:szCs w:val="20"/>
              </w:rPr>
              <w:t>Jul</w:t>
            </w:r>
          </w:p>
        </w:tc>
        <w:tc>
          <w:tcPr>
            <w:tcW w:w="805" w:type="dxa"/>
            <w:tcBorders>
              <w:top w:val="nil"/>
              <w:left w:val="nil"/>
              <w:bottom w:val="nil"/>
              <w:right w:val="nil"/>
            </w:tcBorders>
            <w:shd w:val="clear" w:color="000000" w:fill="44546A"/>
            <w:noWrap/>
            <w:vAlign w:val="center"/>
            <w:hideMark/>
          </w:tcPr>
          <w:p w:rsidR="00826290" w:rsidRPr="00826290" w:rsidRDefault="00826290" w:rsidP="00826290">
            <w:pPr>
              <w:spacing w:after="0" w:line="240" w:lineRule="auto"/>
              <w:jc w:val="center"/>
              <w:rPr>
                <w:rFonts w:ascii="Calibri" w:eastAsia="Times New Roman" w:hAnsi="Calibri" w:cs="Calibri"/>
                <w:color w:val="FFFFFF"/>
                <w:sz w:val="20"/>
                <w:szCs w:val="20"/>
              </w:rPr>
            </w:pPr>
            <w:r w:rsidRPr="00826290">
              <w:rPr>
                <w:rFonts w:ascii="Calibri" w:eastAsia="Times New Roman" w:hAnsi="Calibri" w:cs="Calibri"/>
                <w:color w:val="FFFFFF"/>
                <w:sz w:val="20"/>
                <w:szCs w:val="20"/>
              </w:rPr>
              <w:t>Aug</w:t>
            </w:r>
          </w:p>
        </w:tc>
        <w:tc>
          <w:tcPr>
            <w:tcW w:w="805" w:type="dxa"/>
            <w:tcBorders>
              <w:top w:val="nil"/>
              <w:left w:val="nil"/>
              <w:bottom w:val="nil"/>
              <w:right w:val="nil"/>
            </w:tcBorders>
            <w:shd w:val="clear" w:color="000000" w:fill="44546A"/>
            <w:noWrap/>
            <w:vAlign w:val="center"/>
            <w:hideMark/>
          </w:tcPr>
          <w:p w:rsidR="00826290" w:rsidRPr="00826290" w:rsidRDefault="00826290" w:rsidP="00826290">
            <w:pPr>
              <w:spacing w:after="0" w:line="240" w:lineRule="auto"/>
              <w:jc w:val="center"/>
              <w:rPr>
                <w:rFonts w:ascii="Calibri" w:eastAsia="Times New Roman" w:hAnsi="Calibri" w:cs="Calibri"/>
                <w:color w:val="FFFFFF"/>
                <w:sz w:val="20"/>
                <w:szCs w:val="20"/>
              </w:rPr>
            </w:pPr>
            <w:r w:rsidRPr="00826290">
              <w:rPr>
                <w:rFonts w:ascii="Calibri" w:eastAsia="Times New Roman" w:hAnsi="Calibri" w:cs="Calibri"/>
                <w:color w:val="FFFFFF"/>
                <w:sz w:val="20"/>
                <w:szCs w:val="20"/>
              </w:rPr>
              <w:t>Sep</w:t>
            </w:r>
          </w:p>
        </w:tc>
        <w:tc>
          <w:tcPr>
            <w:tcW w:w="805" w:type="dxa"/>
            <w:tcBorders>
              <w:top w:val="nil"/>
              <w:left w:val="nil"/>
              <w:bottom w:val="nil"/>
              <w:right w:val="nil"/>
            </w:tcBorders>
            <w:shd w:val="clear" w:color="000000" w:fill="44546A"/>
            <w:noWrap/>
            <w:vAlign w:val="center"/>
            <w:hideMark/>
          </w:tcPr>
          <w:p w:rsidR="00826290" w:rsidRPr="00826290" w:rsidRDefault="00826290" w:rsidP="00826290">
            <w:pPr>
              <w:spacing w:after="0" w:line="240" w:lineRule="auto"/>
              <w:jc w:val="center"/>
              <w:rPr>
                <w:rFonts w:ascii="Calibri" w:eastAsia="Times New Roman" w:hAnsi="Calibri" w:cs="Calibri"/>
                <w:color w:val="FFFFFF"/>
                <w:sz w:val="20"/>
                <w:szCs w:val="20"/>
              </w:rPr>
            </w:pPr>
            <w:r w:rsidRPr="00826290">
              <w:rPr>
                <w:rFonts w:ascii="Calibri" w:eastAsia="Times New Roman" w:hAnsi="Calibri" w:cs="Calibri"/>
                <w:color w:val="FFFFFF"/>
                <w:sz w:val="20"/>
                <w:szCs w:val="20"/>
              </w:rPr>
              <w:t>Oct</w:t>
            </w:r>
          </w:p>
        </w:tc>
        <w:tc>
          <w:tcPr>
            <w:tcW w:w="805" w:type="dxa"/>
            <w:tcBorders>
              <w:top w:val="nil"/>
              <w:left w:val="nil"/>
              <w:bottom w:val="nil"/>
              <w:right w:val="nil"/>
            </w:tcBorders>
            <w:shd w:val="clear" w:color="000000" w:fill="44546A"/>
            <w:noWrap/>
            <w:vAlign w:val="center"/>
            <w:hideMark/>
          </w:tcPr>
          <w:p w:rsidR="00826290" w:rsidRPr="00826290" w:rsidRDefault="00826290" w:rsidP="00826290">
            <w:pPr>
              <w:spacing w:after="0" w:line="240" w:lineRule="auto"/>
              <w:jc w:val="center"/>
              <w:rPr>
                <w:rFonts w:ascii="Calibri" w:eastAsia="Times New Roman" w:hAnsi="Calibri" w:cs="Calibri"/>
                <w:color w:val="FFFFFF"/>
                <w:sz w:val="20"/>
                <w:szCs w:val="20"/>
              </w:rPr>
            </w:pPr>
            <w:r w:rsidRPr="00826290">
              <w:rPr>
                <w:rFonts w:ascii="Calibri" w:eastAsia="Times New Roman" w:hAnsi="Calibri" w:cs="Calibri"/>
                <w:color w:val="FFFFFF"/>
                <w:sz w:val="20"/>
                <w:szCs w:val="20"/>
              </w:rPr>
              <w:t>Nov</w:t>
            </w:r>
          </w:p>
        </w:tc>
        <w:tc>
          <w:tcPr>
            <w:tcW w:w="805" w:type="dxa"/>
            <w:tcBorders>
              <w:top w:val="nil"/>
              <w:left w:val="nil"/>
              <w:bottom w:val="nil"/>
              <w:right w:val="nil"/>
            </w:tcBorders>
            <w:shd w:val="clear" w:color="000000" w:fill="44546A"/>
            <w:noWrap/>
            <w:vAlign w:val="center"/>
            <w:hideMark/>
          </w:tcPr>
          <w:p w:rsidR="00826290" w:rsidRPr="00826290" w:rsidRDefault="00826290" w:rsidP="00826290">
            <w:pPr>
              <w:spacing w:after="0" w:line="240" w:lineRule="auto"/>
              <w:jc w:val="center"/>
              <w:rPr>
                <w:rFonts w:ascii="Calibri" w:eastAsia="Times New Roman" w:hAnsi="Calibri" w:cs="Calibri"/>
                <w:color w:val="FFFFFF"/>
                <w:sz w:val="20"/>
                <w:szCs w:val="20"/>
              </w:rPr>
            </w:pPr>
            <w:r w:rsidRPr="00826290">
              <w:rPr>
                <w:rFonts w:ascii="Calibri" w:eastAsia="Times New Roman" w:hAnsi="Calibri" w:cs="Calibri"/>
                <w:color w:val="FFFFFF"/>
                <w:sz w:val="20"/>
                <w:szCs w:val="20"/>
              </w:rPr>
              <w:t>Dec</w:t>
            </w:r>
          </w:p>
        </w:tc>
      </w:tr>
      <w:tr w:rsidR="00826290" w:rsidRPr="00826290" w:rsidTr="00826290">
        <w:trPr>
          <w:trHeight w:val="273"/>
        </w:trPr>
        <w:tc>
          <w:tcPr>
            <w:tcW w:w="1912" w:type="dxa"/>
            <w:tcBorders>
              <w:top w:val="nil"/>
              <w:left w:val="nil"/>
              <w:bottom w:val="nil"/>
              <w:right w:val="nil"/>
            </w:tcBorders>
            <w:shd w:val="clear" w:color="auto" w:fill="auto"/>
            <w:noWrap/>
            <w:vAlign w:val="center"/>
            <w:hideMark/>
          </w:tcPr>
          <w:p w:rsidR="00826290" w:rsidRPr="00826290" w:rsidRDefault="00826290" w:rsidP="00826290">
            <w:pPr>
              <w:spacing w:after="0" w:line="240" w:lineRule="auto"/>
              <w:rPr>
                <w:rFonts w:ascii="Calibri" w:eastAsia="Times New Roman" w:hAnsi="Calibri" w:cs="Calibri"/>
                <w:color w:val="000000"/>
                <w:sz w:val="20"/>
                <w:szCs w:val="20"/>
              </w:rPr>
            </w:pPr>
            <w:r w:rsidRPr="00826290">
              <w:rPr>
                <w:rFonts w:ascii="Calibri" w:eastAsia="Times New Roman" w:hAnsi="Calibri" w:cs="Calibri"/>
                <w:color w:val="000000"/>
                <w:sz w:val="20"/>
                <w:szCs w:val="20"/>
              </w:rPr>
              <w:t>Forecast</w:t>
            </w:r>
          </w:p>
        </w:tc>
        <w:tc>
          <w:tcPr>
            <w:tcW w:w="805" w:type="dxa"/>
            <w:tcBorders>
              <w:top w:val="nil"/>
              <w:left w:val="nil"/>
              <w:bottom w:val="nil"/>
              <w:right w:val="nil"/>
            </w:tcBorders>
            <w:shd w:val="clear" w:color="auto" w:fill="auto"/>
            <w:noWrap/>
            <w:vAlign w:val="center"/>
            <w:hideMark/>
          </w:tcPr>
          <w:p w:rsidR="00826290" w:rsidRPr="00826290" w:rsidRDefault="00826290" w:rsidP="00826290">
            <w:pPr>
              <w:spacing w:after="0" w:line="240" w:lineRule="auto"/>
              <w:jc w:val="center"/>
              <w:rPr>
                <w:rFonts w:ascii="Calibri" w:eastAsia="Times New Roman" w:hAnsi="Calibri" w:cs="Calibri"/>
                <w:color w:val="000000"/>
                <w:sz w:val="20"/>
                <w:szCs w:val="20"/>
              </w:rPr>
            </w:pPr>
            <w:r w:rsidRPr="00826290">
              <w:rPr>
                <w:rFonts w:ascii="Calibri" w:eastAsia="Times New Roman" w:hAnsi="Calibri" w:cs="Calibri"/>
                <w:color w:val="000000"/>
                <w:sz w:val="20"/>
                <w:szCs w:val="20"/>
              </w:rPr>
              <w:t>$125.6</w:t>
            </w:r>
          </w:p>
        </w:tc>
        <w:tc>
          <w:tcPr>
            <w:tcW w:w="805" w:type="dxa"/>
            <w:tcBorders>
              <w:top w:val="nil"/>
              <w:left w:val="nil"/>
              <w:bottom w:val="nil"/>
              <w:right w:val="nil"/>
            </w:tcBorders>
            <w:shd w:val="clear" w:color="auto" w:fill="auto"/>
            <w:noWrap/>
            <w:vAlign w:val="center"/>
            <w:hideMark/>
          </w:tcPr>
          <w:p w:rsidR="00826290" w:rsidRPr="00826290" w:rsidRDefault="00826290" w:rsidP="00826290">
            <w:pPr>
              <w:spacing w:after="0" w:line="240" w:lineRule="auto"/>
              <w:jc w:val="center"/>
              <w:rPr>
                <w:rFonts w:ascii="Calibri" w:eastAsia="Times New Roman" w:hAnsi="Calibri" w:cs="Calibri"/>
                <w:color w:val="000000"/>
                <w:sz w:val="20"/>
                <w:szCs w:val="20"/>
              </w:rPr>
            </w:pPr>
            <w:r w:rsidRPr="00826290">
              <w:rPr>
                <w:rFonts w:ascii="Calibri" w:eastAsia="Times New Roman" w:hAnsi="Calibri" w:cs="Calibri"/>
                <w:color w:val="000000"/>
                <w:sz w:val="20"/>
                <w:szCs w:val="20"/>
              </w:rPr>
              <w:t>$82.6</w:t>
            </w:r>
          </w:p>
        </w:tc>
        <w:tc>
          <w:tcPr>
            <w:tcW w:w="805" w:type="dxa"/>
            <w:tcBorders>
              <w:top w:val="nil"/>
              <w:left w:val="nil"/>
              <w:bottom w:val="nil"/>
              <w:right w:val="nil"/>
            </w:tcBorders>
            <w:shd w:val="clear" w:color="auto" w:fill="auto"/>
            <w:noWrap/>
            <w:vAlign w:val="center"/>
            <w:hideMark/>
          </w:tcPr>
          <w:p w:rsidR="00826290" w:rsidRPr="00826290" w:rsidRDefault="00826290" w:rsidP="00826290">
            <w:pPr>
              <w:spacing w:after="0" w:line="240" w:lineRule="auto"/>
              <w:jc w:val="center"/>
              <w:rPr>
                <w:rFonts w:ascii="Calibri" w:eastAsia="Times New Roman" w:hAnsi="Calibri" w:cs="Calibri"/>
                <w:color w:val="000000"/>
                <w:sz w:val="20"/>
                <w:szCs w:val="20"/>
              </w:rPr>
            </w:pPr>
            <w:r w:rsidRPr="00826290">
              <w:rPr>
                <w:rFonts w:ascii="Calibri" w:eastAsia="Times New Roman" w:hAnsi="Calibri" w:cs="Calibri"/>
                <w:color w:val="000000"/>
                <w:sz w:val="20"/>
                <w:szCs w:val="20"/>
              </w:rPr>
              <w:t>$88.5</w:t>
            </w:r>
          </w:p>
        </w:tc>
        <w:tc>
          <w:tcPr>
            <w:tcW w:w="805" w:type="dxa"/>
            <w:tcBorders>
              <w:top w:val="nil"/>
              <w:left w:val="nil"/>
              <w:bottom w:val="nil"/>
              <w:right w:val="nil"/>
            </w:tcBorders>
            <w:shd w:val="clear" w:color="auto" w:fill="auto"/>
            <w:noWrap/>
            <w:vAlign w:val="center"/>
            <w:hideMark/>
          </w:tcPr>
          <w:p w:rsidR="00826290" w:rsidRPr="00826290" w:rsidRDefault="00826290" w:rsidP="00826290">
            <w:pPr>
              <w:spacing w:after="0" w:line="240" w:lineRule="auto"/>
              <w:jc w:val="center"/>
              <w:rPr>
                <w:rFonts w:ascii="Calibri" w:eastAsia="Times New Roman" w:hAnsi="Calibri" w:cs="Calibri"/>
                <w:color w:val="000000"/>
                <w:sz w:val="20"/>
                <w:szCs w:val="20"/>
              </w:rPr>
            </w:pPr>
            <w:r w:rsidRPr="00826290">
              <w:rPr>
                <w:rFonts w:ascii="Calibri" w:eastAsia="Times New Roman" w:hAnsi="Calibri" w:cs="Calibri"/>
                <w:color w:val="000000"/>
                <w:sz w:val="20"/>
                <w:szCs w:val="20"/>
              </w:rPr>
              <w:t>$132.7</w:t>
            </w:r>
          </w:p>
        </w:tc>
        <w:tc>
          <w:tcPr>
            <w:tcW w:w="805" w:type="dxa"/>
            <w:tcBorders>
              <w:top w:val="nil"/>
              <w:left w:val="nil"/>
              <w:bottom w:val="nil"/>
              <w:right w:val="nil"/>
            </w:tcBorders>
            <w:shd w:val="clear" w:color="auto" w:fill="auto"/>
            <w:noWrap/>
            <w:vAlign w:val="center"/>
            <w:hideMark/>
          </w:tcPr>
          <w:p w:rsidR="00826290" w:rsidRPr="00826290" w:rsidRDefault="00826290" w:rsidP="00826290">
            <w:pPr>
              <w:spacing w:after="0" w:line="240" w:lineRule="auto"/>
              <w:jc w:val="center"/>
              <w:rPr>
                <w:rFonts w:ascii="Calibri" w:eastAsia="Times New Roman" w:hAnsi="Calibri" w:cs="Calibri"/>
                <w:color w:val="000000"/>
                <w:sz w:val="20"/>
                <w:szCs w:val="20"/>
              </w:rPr>
            </w:pPr>
            <w:r w:rsidRPr="00826290">
              <w:rPr>
                <w:rFonts w:ascii="Calibri" w:eastAsia="Times New Roman" w:hAnsi="Calibri" w:cs="Calibri"/>
                <w:color w:val="000000"/>
                <w:sz w:val="20"/>
                <w:szCs w:val="20"/>
              </w:rPr>
              <w:t>$156.6</w:t>
            </w:r>
          </w:p>
        </w:tc>
        <w:tc>
          <w:tcPr>
            <w:tcW w:w="805" w:type="dxa"/>
            <w:tcBorders>
              <w:top w:val="nil"/>
              <w:left w:val="nil"/>
              <w:bottom w:val="nil"/>
              <w:right w:val="nil"/>
            </w:tcBorders>
            <w:shd w:val="clear" w:color="auto" w:fill="auto"/>
            <w:noWrap/>
            <w:vAlign w:val="center"/>
            <w:hideMark/>
          </w:tcPr>
          <w:p w:rsidR="00826290" w:rsidRPr="00826290" w:rsidRDefault="00826290" w:rsidP="00826290">
            <w:pPr>
              <w:spacing w:after="0" w:line="240" w:lineRule="auto"/>
              <w:jc w:val="center"/>
              <w:rPr>
                <w:rFonts w:ascii="Calibri" w:eastAsia="Times New Roman" w:hAnsi="Calibri" w:cs="Calibri"/>
                <w:color w:val="000000"/>
                <w:sz w:val="20"/>
                <w:szCs w:val="20"/>
              </w:rPr>
            </w:pPr>
            <w:r w:rsidRPr="00826290">
              <w:rPr>
                <w:rFonts w:ascii="Calibri" w:eastAsia="Times New Roman" w:hAnsi="Calibri" w:cs="Calibri"/>
                <w:color w:val="000000"/>
                <w:sz w:val="20"/>
                <w:szCs w:val="20"/>
              </w:rPr>
              <w:t>$148.6</w:t>
            </w:r>
          </w:p>
        </w:tc>
        <w:tc>
          <w:tcPr>
            <w:tcW w:w="805" w:type="dxa"/>
            <w:tcBorders>
              <w:top w:val="nil"/>
              <w:left w:val="nil"/>
              <w:bottom w:val="nil"/>
              <w:right w:val="nil"/>
            </w:tcBorders>
            <w:shd w:val="clear" w:color="auto" w:fill="auto"/>
            <w:noWrap/>
            <w:vAlign w:val="center"/>
            <w:hideMark/>
          </w:tcPr>
          <w:p w:rsidR="00826290" w:rsidRPr="00826290" w:rsidRDefault="00826290" w:rsidP="00826290">
            <w:pPr>
              <w:spacing w:after="0" w:line="240" w:lineRule="auto"/>
              <w:jc w:val="center"/>
              <w:rPr>
                <w:rFonts w:ascii="Calibri" w:eastAsia="Times New Roman" w:hAnsi="Calibri" w:cs="Calibri"/>
                <w:color w:val="000000"/>
                <w:sz w:val="20"/>
                <w:szCs w:val="20"/>
              </w:rPr>
            </w:pPr>
            <w:r w:rsidRPr="00826290">
              <w:rPr>
                <w:rFonts w:ascii="Calibri" w:eastAsia="Times New Roman" w:hAnsi="Calibri" w:cs="Calibri"/>
                <w:color w:val="000000"/>
                <w:sz w:val="20"/>
                <w:szCs w:val="20"/>
              </w:rPr>
              <w:t>$160.6</w:t>
            </w:r>
          </w:p>
        </w:tc>
        <w:tc>
          <w:tcPr>
            <w:tcW w:w="805" w:type="dxa"/>
            <w:tcBorders>
              <w:top w:val="nil"/>
              <w:left w:val="nil"/>
              <w:bottom w:val="nil"/>
              <w:right w:val="nil"/>
            </w:tcBorders>
            <w:shd w:val="clear" w:color="auto" w:fill="auto"/>
            <w:noWrap/>
            <w:vAlign w:val="center"/>
            <w:hideMark/>
          </w:tcPr>
          <w:p w:rsidR="00826290" w:rsidRPr="00826290" w:rsidRDefault="00826290" w:rsidP="00826290">
            <w:pPr>
              <w:spacing w:after="0" w:line="240" w:lineRule="auto"/>
              <w:jc w:val="center"/>
              <w:rPr>
                <w:rFonts w:ascii="Calibri" w:eastAsia="Times New Roman" w:hAnsi="Calibri" w:cs="Calibri"/>
                <w:color w:val="000000"/>
                <w:sz w:val="20"/>
                <w:szCs w:val="20"/>
              </w:rPr>
            </w:pPr>
            <w:r w:rsidRPr="00826290">
              <w:rPr>
                <w:rFonts w:ascii="Calibri" w:eastAsia="Times New Roman" w:hAnsi="Calibri" w:cs="Calibri"/>
                <w:color w:val="000000"/>
                <w:sz w:val="20"/>
                <w:szCs w:val="20"/>
              </w:rPr>
              <w:t>$159.3</w:t>
            </w:r>
          </w:p>
        </w:tc>
        <w:tc>
          <w:tcPr>
            <w:tcW w:w="805" w:type="dxa"/>
            <w:tcBorders>
              <w:top w:val="nil"/>
              <w:left w:val="nil"/>
              <w:bottom w:val="nil"/>
              <w:right w:val="nil"/>
            </w:tcBorders>
            <w:shd w:val="clear" w:color="auto" w:fill="auto"/>
            <w:noWrap/>
            <w:vAlign w:val="center"/>
            <w:hideMark/>
          </w:tcPr>
          <w:p w:rsidR="00826290" w:rsidRPr="00826290" w:rsidRDefault="00826290" w:rsidP="00826290">
            <w:pPr>
              <w:spacing w:after="0" w:line="240" w:lineRule="auto"/>
              <w:jc w:val="center"/>
              <w:rPr>
                <w:rFonts w:ascii="Calibri" w:eastAsia="Times New Roman" w:hAnsi="Calibri" w:cs="Calibri"/>
                <w:color w:val="000000"/>
                <w:sz w:val="20"/>
                <w:szCs w:val="20"/>
              </w:rPr>
            </w:pPr>
            <w:r w:rsidRPr="00826290">
              <w:rPr>
                <w:rFonts w:ascii="Calibri" w:eastAsia="Times New Roman" w:hAnsi="Calibri" w:cs="Calibri"/>
                <w:color w:val="000000"/>
                <w:sz w:val="20"/>
                <w:szCs w:val="20"/>
              </w:rPr>
              <w:t>$163.0</w:t>
            </w:r>
          </w:p>
        </w:tc>
        <w:tc>
          <w:tcPr>
            <w:tcW w:w="805" w:type="dxa"/>
            <w:tcBorders>
              <w:top w:val="nil"/>
              <w:left w:val="nil"/>
              <w:bottom w:val="nil"/>
              <w:right w:val="nil"/>
            </w:tcBorders>
            <w:shd w:val="clear" w:color="auto" w:fill="auto"/>
            <w:noWrap/>
            <w:vAlign w:val="center"/>
            <w:hideMark/>
          </w:tcPr>
          <w:p w:rsidR="00826290" w:rsidRPr="00826290" w:rsidRDefault="00826290" w:rsidP="00826290">
            <w:pPr>
              <w:spacing w:after="0" w:line="240" w:lineRule="auto"/>
              <w:jc w:val="center"/>
              <w:rPr>
                <w:rFonts w:ascii="Calibri" w:eastAsia="Times New Roman" w:hAnsi="Calibri" w:cs="Calibri"/>
                <w:color w:val="000000"/>
                <w:sz w:val="20"/>
                <w:szCs w:val="20"/>
              </w:rPr>
            </w:pPr>
            <w:r w:rsidRPr="00826290">
              <w:rPr>
                <w:rFonts w:ascii="Calibri" w:eastAsia="Times New Roman" w:hAnsi="Calibri" w:cs="Calibri"/>
                <w:color w:val="000000"/>
                <w:sz w:val="20"/>
                <w:szCs w:val="20"/>
              </w:rPr>
              <w:t>$167.0</w:t>
            </w:r>
          </w:p>
        </w:tc>
        <w:tc>
          <w:tcPr>
            <w:tcW w:w="805" w:type="dxa"/>
            <w:tcBorders>
              <w:top w:val="nil"/>
              <w:left w:val="nil"/>
              <w:bottom w:val="nil"/>
              <w:right w:val="nil"/>
            </w:tcBorders>
            <w:shd w:val="clear" w:color="auto" w:fill="auto"/>
            <w:noWrap/>
            <w:vAlign w:val="center"/>
            <w:hideMark/>
          </w:tcPr>
          <w:p w:rsidR="00826290" w:rsidRPr="00826290" w:rsidRDefault="00826290" w:rsidP="00826290">
            <w:pPr>
              <w:spacing w:after="0" w:line="240" w:lineRule="auto"/>
              <w:jc w:val="center"/>
              <w:rPr>
                <w:rFonts w:ascii="Calibri" w:eastAsia="Times New Roman" w:hAnsi="Calibri" w:cs="Calibri"/>
                <w:color w:val="000000"/>
                <w:sz w:val="20"/>
                <w:szCs w:val="20"/>
              </w:rPr>
            </w:pPr>
            <w:r w:rsidRPr="00826290">
              <w:rPr>
                <w:rFonts w:ascii="Calibri" w:eastAsia="Times New Roman" w:hAnsi="Calibri" w:cs="Calibri"/>
                <w:color w:val="000000"/>
                <w:sz w:val="20"/>
                <w:szCs w:val="20"/>
              </w:rPr>
              <w:t>$157.6</w:t>
            </w:r>
          </w:p>
        </w:tc>
      </w:tr>
      <w:tr w:rsidR="00826290" w:rsidRPr="00826290" w:rsidTr="00826290">
        <w:trPr>
          <w:trHeight w:val="273"/>
        </w:trPr>
        <w:tc>
          <w:tcPr>
            <w:tcW w:w="1912" w:type="dxa"/>
            <w:tcBorders>
              <w:top w:val="nil"/>
              <w:left w:val="nil"/>
              <w:bottom w:val="nil"/>
              <w:right w:val="nil"/>
            </w:tcBorders>
            <w:shd w:val="clear" w:color="auto" w:fill="auto"/>
            <w:noWrap/>
            <w:vAlign w:val="center"/>
            <w:hideMark/>
          </w:tcPr>
          <w:p w:rsidR="00826290" w:rsidRPr="00826290" w:rsidRDefault="00826290" w:rsidP="00826290">
            <w:pPr>
              <w:spacing w:after="0" w:line="240" w:lineRule="auto"/>
              <w:rPr>
                <w:rFonts w:ascii="Calibri" w:eastAsia="Times New Roman" w:hAnsi="Calibri" w:cs="Calibri"/>
                <w:color w:val="000000"/>
                <w:sz w:val="20"/>
                <w:szCs w:val="20"/>
              </w:rPr>
            </w:pPr>
            <w:r w:rsidRPr="00826290">
              <w:rPr>
                <w:rFonts w:ascii="Calibri" w:eastAsia="Times New Roman" w:hAnsi="Calibri" w:cs="Calibri"/>
                <w:color w:val="000000"/>
                <w:sz w:val="20"/>
                <w:szCs w:val="20"/>
              </w:rPr>
              <w:t>Actual / Projected</w:t>
            </w:r>
          </w:p>
        </w:tc>
        <w:tc>
          <w:tcPr>
            <w:tcW w:w="805" w:type="dxa"/>
            <w:tcBorders>
              <w:top w:val="nil"/>
              <w:left w:val="nil"/>
              <w:bottom w:val="nil"/>
              <w:right w:val="nil"/>
            </w:tcBorders>
            <w:shd w:val="clear" w:color="auto" w:fill="auto"/>
            <w:noWrap/>
            <w:vAlign w:val="center"/>
            <w:hideMark/>
          </w:tcPr>
          <w:p w:rsidR="00826290" w:rsidRPr="00826290" w:rsidRDefault="00826290" w:rsidP="00826290">
            <w:pPr>
              <w:spacing w:after="0" w:line="240" w:lineRule="auto"/>
              <w:jc w:val="center"/>
              <w:rPr>
                <w:rFonts w:ascii="Calibri" w:eastAsia="Times New Roman" w:hAnsi="Calibri" w:cs="Calibri"/>
                <w:color w:val="000000"/>
                <w:sz w:val="20"/>
                <w:szCs w:val="20"/>
              </w:rPr>
            </w:pPr>
            <w:r w:rsidRPr="00826290">
              <w:rPr>
                <w:rFonts w:ascii="Calibri" w:eastAsia="Times New Roman" w:hAnsi="Calibri" w:cs="Calibri"/>
                <w:color w:val="000000"/>
                <w:sz w:val="20"/>
                <w:szCs w:val="20"/>
              </w:rPr>
              <w:t>$120.9</w:t>
            </w:r>
          </w:p>
        </w:tc>
        <w:tc>
          <w:tcPr>
            <w:tcW w:w="805" w:type="dxa"/>
            <w:tcBorders>
              <w:top w:val="nil"/>
              <w:left w:val="nil"/>
              <w:bottom w:val="nil"/>
              <w:right w:val="nil"/>
            </w:tcBorders>
            <w:shd w:val="clear" w:color="auto" w:fill="auto"/>
            <w:noWrap/>
            <w:vAlign w:val="center"/>
            <w:hideMark/>
          </w:tcPr>
          <w:p w:rsidR="00826290" w:rsidRPr="00826290" w:rsidRDefault="00826290" w:rsidP="00826290">
            <w:pPr>
              <w:spacing w:after="0" w:line="240" w:lineRule="auto"/>
              <w:jc w:val="center"/>
              <w:rPr>
                <w:rFonts w:ascii="Calibri" w:eastAsia="Times New Roman" w:hAnsi="Calibri" w:cs="Calibri"/>
                <w:color w:val="000000"/>
                <w:sz w:val="20"/>
                <w:szCs w:val="20"/>
              </w:rPr>
            </w:pPr>
            <w:r w:rsidRPr="00826290">
              <w:rPr>
                <w:rFonts w:ascii="Calibri" w:eastAsia="Times New Roman" w:hAnsi="Calibri" w:cs="Calibri"/>
                <w:color w:val="000000"/>
                <w:sz w:val="20"/>
                <w:szCs w:val="20"/>
              </w:rPr>
              <w:t>$69.3</w:t>
            </w:r>
          </w:p>
        </w:tc>
        <w:tc>
          <w:tcPr>
            <w:tcW w:w="805" w:type="dxa"/>
            <w:tcBorders>
              <w:top w:val="nil"/>
              <w:left w:val="nil"/>
              <w:bottom w:val="nil"/>
              <w:right w:val="nil"/>
            </w:tcBorders>
            <w:shd w:val="clear" w:color="auto" w:fill="auto"/>
            <w:noWrap/>
            <w:vAlign w:val="center"/>
            <w:hideMark/>
          </w:tcPr>
          <w:p w:rsidR="00826290" w:rsidRPr="00826290" w:rsidRDefault="00826290" w:rsidP="00826290">
            <w:pPr>
              <w:spacing w:after="0" w:line="240" w:lineRule="auto"/>
              <w:jc w:val="center"/>
              <w:rPr>
                <w:rFonts w:ascii="Calibri" w:eastAsia="Times New Roman" w:hAnsi="Calibri" w:cs="Calibri"/>
                <w:color w:val="000000"/>
                <w:sz w:val="20"/>
                <w:szCs w:val="20"/>
              </w:rPr>
            </w:pPr>
            <w:r w:rsidRPr="00826290">
              <w:rPr>
                <w:rFonts w:ascii="Calibri" w:eastAsia="Times New Roman" w:hAnsi="Calibri" w:cs="Calibri"/>
                <w:color w:val="000000"/>
                <w:sz w:val="20"/>
                <w:szCs w:val="20"/>
              </w:rPr>
              <w:t>$101.9</w:t>
            </w:r>
          </w:p>
        </w:tc>
        <w:tc>
          <w:tcPr>
            <w:tcW w:w="805" w:type="dxa"/>
            <w:tcBorders>
              <w:top w:val="nil"/>
              <w:left w:val="nil"/>
              <w:bottom w:val="nil"/>
              <w:right w:val="nil"/>
            </w:tcBorders>
            <w:shd w:val="clear" w:color="auto" w:fill="auto"/>
            <w:noWrap/>
            <w:vAlign w:val="center"/>
            <w:hideMark/>
          </w:tcPr>
          <w:p w:rsidR="00826290" w:rsidRPr="00826290" w:rsidRDefault="00826290" w:rsidP="00826290">
            <w:pPr>
              <w:spacing w:after="0" w:line="240" w:lineRule="auto"/>
              <w:jc w:val="center"/>
              <w:rPr>
                <w:rFonts w:ascii="Calibri" w:eastAsia="Times New Roman" w:hAnsi="Calibri" w:cs="Calibri"/>
                <w:color w:val="000000"/>
                <w:sz w:val="20"/>
                <w:szCs w:val="20"/>
              </w:rPr>
            </w:pPr>
            <w:r w:rsidRPr="00826290">
              <w:rPr>
                <w:rFonts w:ascii="Calibri" w:eastAsia="Times New Roman" w:hAnsi="Calibri" w:cs="Calibri"/>
                <w:color w:val="000000"/>
                <w:sz w:val="20"/>
                <w:szCs w:val="20"/>
              </w:rPr>
              <w:t>$145.8</w:t>
            </w:r>
          </w:p>
        </w:tc>
        <w:tc>
          <w:tcPr>
            <w:tcW w:w="805" w:type="dxa"/>
            <w:tcBorders>
              <w:top w:val="nil"/>
              <w:left w:val="nil"/>
              <w:bottom w:val="nil"/>
              <w:right w:val="nil"/>
            </w:tcBorders>
            <w:shd w:val="clear" w:color="auto" w:fill="auto"/>
            <w:noWrap/>
            <w:vAlign w:val="center"/>
            <w:hideMark/>
          </w:tcPr>
          <w:p w:rsidR="00826290" w:rsidRPr="00826290" w:rsidRDefault="00826290" w:rsidP="00826290">
            <w:pPr>
              <w:spacing w:after="0" w:line="240" w:lineRule="auto"/>
              <w:jc w:val="center"/>
              <w:rPr>
                <w:rFonts w:ascii="Calibri" w:eastAsia="Times New Roman" w:hAnsi="Calibri" w:cs="Calibri"/>
                <w:color w:val="000000"/>
                <w:sz w:val="20"/>
                <w:szCs w:val="20"/>
              </w:rPr>
            </w:pPr>
            <w:r w:rsidRPr="00826290">
              <w:rPr>
                <w:rFonts w:ascii="Calibri" w:eastAsia="Times New Roman" w:hAnsi="Calibri" w:cs="Calibri"/>
                <w:color w:val="000000"/>
                <w:sz w:val="20"/>
                <w:szCs w:val="20"/>
              </w:rPr>
              <w:t>$191.3</w:t>
            </w:r>
          </w:p>
        </w:tc>
        <w:tc>
          <w:tcPr>
            <w:tcW w:w="805" w:type="dxa"/>
            <w:tcBorders>
              <w:top w:val="nil"/>
              <w:left w:val="nil"/>
              <w:bottom w:val="nil"/>
              <w:right w:val="nil"/>
            </w:tcBorders>
            <w:shd w:val="clear" w:color="auto" w:fill="auto"/>
            <w:noWrap/>
            <w:vAlign w:val="center"/>
            <w:hideMark/>
          </w:tcPr>
          <w:p w:rsidR="00826290" w:rsidRPr="00826290" w:rsidRDefault="00826290" w:rsidP="00826290">
            <w:pPr>
              <w:spacing w:after="0" w:line="240" w:lineRule="auto"/>
              <w:jc w:val="center"/>
              <w:rPr>
                <w:rFonts w:ascii="Calibri" w:eastAsia="Times New Roman" w:hAnsi="Calibri" w:cs="Calibri"/>
                <w:color w:val="000000"/>
                <w:sz w:val="20"/>
                <w:szCs w:val="20"/>
              </w:rPr>
            </w:pPr>
            <w:r w:rsidRPr="00826290">
              <w:rPr>
                <w:rFonts w:ascii="Calibri" w:eastAsia="Times New Roman" w:hAnsi="Calibri" w:cs="Calibri"/>
                <w:color w:val="000000"/>
                <w:sz w:val="20"/>
                <w:szCs w:val="20"/>
              </w:rPr>
              <w:t>$145.8</w:t>
            </w:r>
          </w:p>
        </w:tc>
        <w:tc>
          <w:tcPr>
            <w:tcW w:w="805" w:type="dxa"/>
            <w:tcBorders>
              <w:top w:val="nil"/>
              <w:left w:val="nil"/>
              <w:bottom w:val="nil"/>
              <w:right w:val="nil"/>
            </w:tcBorders>
            <w:shd w:val="clear" w:color="auto" w:fill="auto"/>
            <w:noWrap/>
            <w:vAlign w:val="center"/>
            <w:hideMark/>
          </w:tcPr>
          <w:p w:rsidR="00826290" w:rsidRPr="00826290" w:rsidRDefault="00826290" w:rsidP="00826290">
            <w:pPr>
              <w:spacing w:after="0" w:line="240" w:lineRule="auto"/>
              <w:jc w:val="center"/>
              <w:rPr>
                <w:rFonts w:ascii="Calibri" w:eastAsia="Times New Roman" w:hAnsi="Calibri" w:cs="Calibri"/>
                <w:color w:val="000000"/>
                <w:sz w:val="20"/>
                <w:szCs w:val="20"/>
              </w:rPr>
            </w:pPr>
            <w:r w:rsidRPr="00826290">
              <w:rPr>
                <w:rFonts w:ascii="Calibri" w:eastAsia="Times New Roman" w:hAnsi="Calibri" w:cs="Calibri"/>
                <w:color w:val="000000"/>
                <w:sz w:val="20"/>
                <w:szCs w:val="20"/>
              </w:rPr>
              <w:t>$164.2</w:t>
            </w:r>
          </w:p>
        </w:tc>
        <w:tc>
          <w:tcPr>
            <w:tcW w:w="805" w:type="dxa"/>
            <w:tcBorders>
              <w:top w:val="nil"/>
              <w:left w:val="nil"/>
              <w:bottom w:val="nil"/>
              <w:right w:val="nil"/>
            </w:tcBorders>
            <w:shd w:val="clear" w:color="auto" w:fill="auto"/>
            <w:noWrap/>
            <w:vAlign w:val="center"/>
            <w:hideMark/>
          </w:tcPr>
          <w:p w:rsidR="00826290" w:rsidRPr="00826290" w:rsidRDefault="00826290" w:rsidP="00826290">
            <w:pPr>
              <w:spacing w:after="0" w:line="240" w:lineRule="auto"/>
              <w:jc w:val="center"/>
              <w:rPr>
                <w:rFonts w:ascii="Calibri" w:eastAsia="Times New Roman" w:hAnsi="Calibri" w:cs="Calibri"/>
                <w:color w:val="000000"/>
                <w:sz w:val="20"/>
                <w:szCs w:val="20"/>
              </w:rPr>
            </w:pPr>
            <w:r w:rsidRPr="00826290">
              <w:rPr>
                <w:rFonts w:ascii="Calibri" w:eastAsia="Times New Roman" w:hAnsi="Calibri" w:cs="Calibri"/>
                <w:color w:val="000000"/>
                <w:sz w:val="20"/>
                <w:szCs w:val="20"/>
              </w:rPr>
              <w:t>$198.4</w:t>
            </w:r>
          </w:p>
        </w:tc>
        <w:tc>
          <w:tcPr>
            <w:tcW w:w="805" w:type="dxa"/>
            <w:tcBorders>
              <w:top w:val="nil"/>
              <w:left w:val="nil"/>
              <w:bottom w:val="nil"/>
              <w:right w:val="nil"/>
            </w:tcBorders>
            <w:shd w:val="clear" w:color="auto" w:fill="auto"/>
            <w:noWrap/>
            <w:vAlign w:val="center"/>
            <w:hideMark/>
          </w:tcPr>
          <w:p w:rsidR="00826290" w:rsidRPr="00826290" w:rsidRDefault="00826290" w:rsidP="00826290">
            <w:pPr>
              <w:spacing w:after="0" w:line="240" w:lineRule="auto"/>
              <w:jc w:val="center"/>
              <w:rPr>
                <w:rFonts w:ascii="Calibri" w:eastAsia="Times New Roman" w:hAnsi="Calibri" w:cs="Calibri"/>
                <w:color w:val="000000"/>
                <w:sz w:val="20"/>
                <w:szCs w:val="20"/>
              </w:rPr>
            </w:pPr>
            <w:r w:rsidRPr="00826290">
              <w:rPr>
                <w:rFonts w:ascii="Calibri" w:eastAsia="Times New Roman" w:hAnsi="Calibri" w:cs="Calibri"/>
                <w:color w:val="000000"/>
                <w:sz w:val="20"/>
                <w:szCs w:val="20"/>
              </w:rPr>
              <w:t>$2</w:t>
            </w:r>
            <w:r w:rsidR="00A42BE1">
              <w:rPr>
                <w:rFonts w:ascii="Calibri" w:eastAsia="Times New Roman" w:hAnsi="Calibri" w:cs="Calibri"/>
                <w:color w:val="000000"/>
                <w:sz w:val="20"/>
                <w:szCs w:val="20"/>
              </w:rPr>
              <w:t>23.4</w:t>
            </w:r>
          </w:p>
        </w:tc>
        <w:tc>
          <w:tcPr>
            <w:tcW w:w="805" w:type="dxa"/>
            <w:tcBorders>
              <w:top w:val="nil"/>
              <w:left w:val="nil"/>
              <w:bottom w:val="nil"/>
              <w:right w:val="nil"/>
            </w:tcBorders>
            <w:shd w:val="clear" w:color="auto" w:fill="auto"/>
            <w:noWrap/>
            <w:vAlign w:val="center"/>
            <w:hideMark/>
          </w:tcPr>
          <w:p w:rsidR="00826290" w:rsidRPr="00826290" w:rsidRDefault="00826290" w:rsidP="00826290">
            <w:pPr>
              <w:spacing w:after="0" w:line="240" w:lineRule="auto"/>
              <w:jc w:val="center"/>
              <w:rPr>
                <w:rFonts w:ascii="Calibri" w:eastAsia="Times New Roman" w:hAnsi="Calibri" w:cs="Calibri"/>
                <w:color w:val="000000"/>
                <w:sz w:val="20"/>
                <w:szCs w:val="20"/>
              </w:rPr>
            </w:pPr>
          </w:p>
        </w:tc>
        <w:tc>
          <w:tcPr>
            <w:tcW w:w="805" w:type="dxa"/>
            <w:tcBorders>
              <w:top w:val="nil"/>
              <w:left w:val="nil"/>
              <w:bottom w:val="nil"/>
              <w:right w:val="nil"/>
            </w:tcBorders>
            <w:shd w:val="clear" w:color="auto" w:fill="auto"/>
            <w:noWrap/>
            <w:vAlign w:val="center"/>
            <w:hideMark/>
          </w:tcPr>
          <w:p w:rsidR="00826290" w:rsidRPr="00826290" w:rsidRDefault="00826290" w:rsidP="00826290">
            <w:pPr>
              <w:spacing w:after="0" w:line="240" w:lineRule="auto"/>
              <w:jc w:val="center"/>
              <w:rPr>
                <w:rFonts w:ascii="Times New Roman" w:eastAsia="Times New Roman" w:hAnsi="Times New Roman" w:cs="Times New Roman"/>
                <w:sz w:val="20"/>
                <w:szCs w:val="20"/>
              </w:rPr>
            </w:pPr>
          </w:p>
        </w:tc>
      </w:tr>
      <w:tr w:rsidR="00826290" w:rsidRPr="00826290" w:rsidTr="00826290">
        <w:trPr>
          <w:trHeight w:val="273"/>
        </w:trPr>
        <w:tc>
          <w:tcPr>
            <w:tcW w:w="1912" w:type="dxa"/>
            <w:tcBorders>
              <w:top w:val="nil"/>
              <w:left w:val="nil"/>
              <w:bottom w:val="nil"/>
              <w:right w:val="nil"/>
            </w:tcBorders>
            <w:shd w:val="clear" w:color="auto" w:fill="auto"/>
            <w:noWrap/>
            <w:vAlign w:val="center"/>
            <w:hideMark/>
          </w:tcPr>
          <w:p w:rsidR="00826290" w:rsidRPr="00826290" w:rsidRDefault="00826290" w:rsidP="00826290">
            <w:pPr>
              <w:spacing w:after="0" w:line="240" w:lineRule="auto"/>
              <w:rPr>
                <w:rFonts w:ascii="Calibri" w:eastAsia="Times New Roman" w:hAnsi="Calibri" w:cs="Calibri"/>
                <w:color w:val="000000"/>
                <w:sz w:val="20"/>
                <w:szCs w:val="20"/>
              </w:rPr>
            </w:pPr>
            <w:r w:rsidRPr="00826290">
              <w:rPr>
                <w:rFonts w:ascii="Calibri" w:eastAsia="Times New Roman" w:hAnsi="Calibri" w:cs="Calibri"/>
                <w:color w:val="000000"/>
                <w:sz w:val="20"/>
                <w:szCs w:val="20"/>
              </w:rPr>
              <w:t>Variance</w:t>
            </w:r>
          </w:p>
        </w:tc>
        <w:tc>
          <w:tcPr>
            <w:tcW w:w="805" w:type="dxa"/>
            <w:tcBorders>
              <w:top w:val="nil"/>
              <w:left w:val="nil"/>
              <w:bottom w:val="nil"/>
              <w:right w:val="nil"/>
            </w:tcBorders>
            <w:shd w:val="clear" w:color="auto" w:fill="auto"/>
            <w:noWrap/>
            <w:vAlign w:val="center"/>
            <w:hideMark/>
          </w:tcPr>
          <w:p w:rsidR="00826290" w:rsidRPr="00826290" w:rsidRDefault="00826290" w:rsidP="00826290">
            <w:pPr>
              <w:spacing w:after="0" w:line="240" w:lineRule="auto"/>
              <w:jc w:val="center"/>
              <w:rPr>
                <w:rFonts w:ascii="Calibri" w:eastAsia="Times New Roman" w:hAnsi="Calibri" w:cs="Calibri"/>
                <w:color w:val="000000"/>
                <w:sz w:val="20"/>
                <w:szCs w:val="20"/>
              </w:rPr>
            </w:pPr>
            <w:r w:rsidRPr="00826290">
              <w:rPr>
                <w:rFonts w:ascii="Calibri" w:eastAsia="Times New Roman" w:hAnsi="Calibri" w:cs="Calibri"/>
                <w:color w:val="000000"/>
                <w:sz w:val="20"/>
                <w:szCs w:val="20"/>
              </w:rPr>
              <w:t>-$4.7</w:t>
            </w:r>
          </w:p>
        </w:tc>
        <w:tc>
          <w:tcPr>
            <w:tcW w:w="805" w:type="dxa"/>
            <w:tcBorders>
              <w:top w:val="nil"/>
              <w:left w:val="nil"/>
              <w:bottom w:val="nil"/>
              <w:right w:val="nil"/>
            </w:tcBorders>
            <w:shd w:val="clear" w:color="auto" w:fill="auto"/>
            <w:noWrap/>
            <w:vAlign w:val="center"/>
            <w:hideMark/>
          </w:tcPr>
          <w:p w:rsidR="00826290" w:rsidRPr="00826290" w:rsidRDefault="00826290" w:rsidP="00826290">
            <w:pPr>
              <w:spacing w:after="0" w:line="240" w:lineRule="auto"/>
              <w:jc w:val="center"/>
              <w:rPr>
                <w:rFonts w:ascii="Calibri" w:eastAsia="Times New Roman" w:hAnsi="Calibri" w:cs="Calibri"/>
                <w:color w:val="000000"/>
                <w:sz w:val="20"/>
                <w:szCs w:val="20"/>
              </w:rPr>
            </w:pPr>
            <w:r w:rsidRPr="00826290">
              <w:rPr>
                <w:rFonts w:ascii="Calibri" w:eastAsia="Times New Roman" w:hAnsi="Calibri" w:cs="Calibri"/>
                <w:color w:val="000000"/>
                <w:sz w:val="20"/>
                <w:szCs w:val="20"/>
              </w:rPr>
              <w:t>-$13.3</w:t>
            </w:r>
          </w:p>
        </w:tc>
        <w:tc>
          <w:tcPr>
            <w:tcW w:w="805" w:type="dxa"/>
            <w:tcBorders>
              <w:top w:val="nil"/>
              <w:left w:val="nil"/>
              <w:bottom w:val="nil"/>
              <w:right w:val="nil"/>
            </w:tcBorders>
            <w:shd w:val="clear" w:color="auto" w:fill="auto"/>
            <w:noWrap/>
            <w:vAlign w:val="center"/>
            <w:hideMark/>
          </w:tcPr>
          <w:p w:rsidR="00826290" w:rsidRPr="00826290" w:rsidRDefault="00826290" w:rsidP="00826290">
            <w:pPr>
              <w:spacing w:after="0" w:line="240" w:lineRule="auto"/>
              <w:jc w:val="center"/>
              <w:rPr>
                <w:rFonts w:ascii="Calibri" w:eastAsia="Times New Roman" w:hAnsi="Calibri" w:cs="Calibri"/>
                <w:color w:val="000000"/>
                <w:sz w:val="20"/>
                <w:szCs w:val="20"/>
              </w:rPr>
            </w:pPr>
            <w:r w:rsidRPr="00826290">
              <w:rPr>
                <w:rFonts w:ascii="Calibri" w:eastAsia="Times New Roman" w:hAnsi="Calibri" w:cs="Calibri"/>
                <w:color w:val="000000"/>
                <w:sz w:val="20"/>
                <w:szCs w:val="20"/>
              </w:rPr>
              <w:t>$13.5</w:t>
            </w:r>
          </w:p>
        </w:tc>
        <w:tc>
          <w:tcPr>
            <w:tcW w:w="805" w:type="dxa"/>
            <w:tcBorders>
              <w:top w:val="nil"/>
              <w:left w:val="nil"/>
              <w:bottom w:val="nil"/>
              <w:right w:val="nil"/>
            </w:tcBorders>
            <w:shd w:val="clear" w:color="auto" w:fill="auto"/>
            <w:noWrap/>
            <w:vAlign w:val="center"/>
            <w:hideMark/>
          </w:tcPr>
          <w:p w:rsidR="00826290" w:rsidRPr="00826290" w:rsidRDefault="00826290" w:rsidP="00826290">
            <w:pPr>
              <w:spacing w:after="0" w:line="240" w:lineRule="auto"/>
              <w:jc w:val="center"/>
              <w:rPr>
                <w:rFonts w:ascii="Calibri" w:eastAsia="Times New Roman" w:hAnsi="Calibri" w:cs="Calibri"/>
                <w:color w:val="000000"/>
                <w:sz w:val="20"/>
                <w:szCs w:val="20"/>
              </w:rPr>
            </w:pPr>
            <w:r w:rsidRPr="00826290">
              <w:rPr>
                <w:rFonts w:ascii="Calibri" w:eastAsia="Times New Roman" w:hAnsi="Calibri" w:cs="Calibri"/>
                <w:color w:val="000000"/>
                <w:sz w:val="20"/>
                <w:szCs w:val="20"/>
              </w:rPr>
              <w:t>$13.1</w:t>
            </w:r>
          </w:p>
        </w:tc>
        <w:tc>
          <w:tcPr>
            <w:tcW w:w="805" w:type="dxa"/>
            <w:tcBorders>
              <w:top w:val="nil"/>
              <w:left w:val="nil"/>
              <w:bottom w:val="nil"/>
              <w:right w:val="nil"/>
            </w:tcBorders>
            <w:shd w:val="clear" w:color="auto" w:fill="auto"/>
            <w:noWrap/>
            <w:vAlign w:val="center"/>
            <w:hideMark/>
          </w:tcPr>
          <w:p w:rsidR="00826290" w:rsidRPr="00826290" w:rsidRDefault="00826290" w:rsidP="00826290">
            <w:pPr>
              <w:spacing w:after="0" w:line="240" w:lineRule="auto"/>
              <w:jc w:val="center"/>
              <w:rPr>
                <w:rFonts w:ascii="Calibri" w:eastAsia="Times New Roman" w:hAnsi="Calibri" w:cs="Calibri"/>
                <w:color w:val="000000"/>
                <w:sz w:val="20"/>
                <w:szCs w:val="20"/>
              </w:rPr>
            </w:pPr>
            <w:r w:rsidRPr="00826290">
              <w:rPr>
                <w:rFonts w:ascii="Calibri" w:eastAsia="Times New Roman" w:hAnsi="Calibri" w:cs="Calibri"/>
                <w:color w:val="000000"/>
                <w:sz w:val="20"/>
                <w:szCs w:val="20"/>
              </w:rPr>
              <w:t>$34.7</w:t>
            </w:r>
          </w:p>
        </w:tc>
        <w:tc>
          <w:tcPr>
            <w:tcW w:w="805" w:type="dxa"/>
            <w:tcBorders>
              <w:top w:val="nil"/>
              <w:left w:val="nil"/>
              <w:bottom w:val="nil"/>
              <w:right w:val="nil"/>
            </w:tcBorders>
            <w:shd w:val="clear" w:color="auto" w:fill="auto"/>
            <w:noWrap/>
            <w:vAlign w:val="center"/>
            <w:hideMark/>
          </w:tcPr>
          <w:p w:rsidR="00826290" w:rsidRPr="00826290" w:rsidRDefault="00826290" w:rsidP="00826290">
            <w:pPr>
              <w:spacing w:after="0" w:line="240" w:lineRule="auto"/>
              <w:jc w:val="center"/>
              <w:rPr>
                <w:rFonts w:ascii="Calibri" w:eastAsia="Times New Roman" w:hAnsi="Calibri" w:cs="Calibri"/>
                <w:color w:val="000000"/>
                <w:sz w:val="20"/>
                <w:szCs w:val="20"/>
              </w:rPr>
            </w:pPr>
            <w:r w:rsidRPr="00826290">
              <w:rPr>
                <w:rFonts w:ascii="Calibri" w:eastAsia="Times New Roman" w:hAnsi="Calibri" w:cs="Calibri"/>
                <w:color w:val="000000"/>
                <w:sz w:val="20"/>
                <w:szCs w:val="20"/>
              </w:rPr>
              <w:t>-$2.8</w:t>
            </w:r>
          </w:p>
        </w:tc>
        <w:tc>
          <w:tcPr>
            <w:tcW w:w="805" w:type="dxa"/>
            <w:tcBorders>
              <w:top w:val="nil"/>
              <w:left w:val="nil"/>
              <w:bottom w:val="nil"/>
              <w:right w:val="nil"/>
            </w:tcBorders>
            <w:shd w:val="clear" w:color="auto" w:fill="auto"/>
            <w:noWrap/>
            <w:vAlign w:val="center"/>
            <w:hideMark/>
          </w:tcPr>
          <w:p w:rsidR="00826290" w:rsidRPr="00826290" w:rsidRDefault="00826290" w:rsidP="00826290">
            <w:pPr>
              <w:spacing w:after="0" w:line="240" w:lineRule="auto"/>
              <w:jc w:val="center"/>
              <w:rPr>
                <w:rFonts w:ascii="Calibri" w:eastAsia="Times New Roman" w:hAnsi="Calibri" w:cs="Calibri"/>
                <w:color w:val="000000"/>
                <w:sz w:val="20"/>
                <w:szCs w:val="20"/>
              </w:rPr>
            </w:pPr>
            <w:r w:rsidRPr="00826290">
              <w:rPr>
                <w:rFonts w:ascii="Calibri" w:eastAsia="Times New Roman" w:hAnsi="Calibri" w:cs="Calibri"/>
                <w:color w:val="000000"/>
                <w:sz w:val="20"/>
                <w:szCs w:val="20"/>
              </w:rPr>
              <w:t>$3.7</w:t>
            </w:r>
          </w:p>
        </w:tc>
        <w:tc>
          <w:tcPr>
            <w:tcW w:w="805" w:type="dxa"/>
            <w:tcBorders>
              <w:top w:val="nil"/>
              <w:left w:val="nil"/>
              <w:bottom w:val="nil"/>
              <w:right w:val="nil"/>
            </w:tcBorders>
            <w:shd w:val="clear" w:color="auto" w:fill="auto"/>
            <w:noWrap/>
            <w:vAlign w:val="center"/>
            <w:hideMark/>
          </w:tcPr>
          <w:p w:rsidR="00826290" w:rsidRPr="00826290" w:rsidRDefault="00826290" w:rsidP="00826290">
            <w:pPr>
              <w:spacing w:after="0" w:line="240" w:lineRule="auto"/>
              <w:jc w:val="center"/>
              <w:rPr>
                <w:rFonts w:ascii="Calibri" w:eastAsia="Times New Roman" w:hAnsi="Calibri" w:cs="Calibri"/>
                <w:color w:val="000000"/>
                <w:sz w:val="20"/>
                <w:szCs w:val="20"/>
              </w:rPr>
            </w:pPr>
            <w:r w:rsidRPr="00826290">
              <w:rPr>
                <w:rFonts w:ascii="Calibri" w:eastAsia="Times New Roman" w:hAnsi="Calibri" w:cs="Calibri"/>
                <w:color w:val="000000"/>
                <w:sz w:val="20"/>
                <w:szCs w:val="20"/>
              </w:rPr>
              <w:t>$39.1</w:t>
            </w:r>
          </w:p>
        </w:tc>
        <w:tc>
          <w:tcPr>
            <w:tcW w:w="805" w:type="dxa"/>
            <w:tcBorders>
              <w:top w:val="nil"/>
              <w:left w:val="nil"/>
              <w:bottom w:val="nil"/>
              <w:right w:val="nil"/>
            </w:tcBorders>
            <w:shd w:val="clear" w:color="auto" w:fill="auto"/>
            <w:noWrap/>
            <w:vAlign w:val="center"/>
            <w:hideMark/>
          </w:tcPr>
          <w:p w:rsidR="00826290" w:rsidRPr="00826290" w:rsidRDefault="00826290" w:rsidP="00826290">
            <w:pPr>
              <w:spacing w:after="0" w:line="240" w:lineRule="auto"/>
              <w:jc w:val="center"/>
              <w:rPr>
                <w:rFonts w:ascii="Calibri" w:eastAsia="Times New Roman" w:hAnsi="Calibri" w:cs="Calibri"/>
                <w:color w:val="000000"/>
                <w:sz w:val="20"/>
                <w:szCs w:val="20"/>
              </w:rPr>
            </w:pPr>
            <w:r w:rsidRPr="00826290">
              <w:rPr>
                <w:rFonts w:ascii="Calibri" w:eastAsia="Times New Roman" w:hAnsi="Calibri" w:cs="Calibri"/>
                <w:color w:val="000000"/>
                <w:sz w:val="20"/>
                <w:szCs w:val="20"/>
              </w:rPr>
              <w:t>$</w:t>
            </w:r>
            <w:r w:rsidR="00A42BE1">
              <w:rPr>
                <w:rFonts w:ascii="Calibri" w:eastAsia="Times New Roman" w:hAnsi="Calibri" w:cs="Calibri"/>
                <w:color w:val="000000"/>
                <w:sz w:val="20"/>
                <w:szCs w:val="20"/>
              </w:rPr>
              <w:t>60.5</w:t>
            </w:r>
          </w:p>
        </w:tc>
        <w:tc>
          <w:tcPr>
            <w:tcW w:w="805" w:type="dxa"/>
            <w:tcBorders>
              <w:top w:val="nil"/>
              <w:left w:val="nil"/>
              <w:bottom w:val="nil"/>
              <w:right w:val="nil"/>
            </w:tcBorders>
            <w:shd w:val="clear" w:color="auto" w:fill="auto"/>
            <w:noWrap/>
            <w:vAlign w:val="center"/>
            <w:hideMark/>
          </w:tcPr>
          <w:p w:rsidR="00826290" w:rsidRPr="00826290" w:rsidRDefault="00826290" w:rsidP="00826290">
            <w:pPr>
              <w:spacing w:after="0" w:line="240" w:lineRule="auto"/>
              <w:jc w:val="center"/>
              <w:rPr>
                <w:rFonts w:ascii="Calibri" w:eastAsia="Times New Roman" w:hAnsi="Calibri" w:cs="Calibri"/>
                <w:color w:val="000000"/>
                <w:sz w:val="20"/>
                <w:szCs w:val="20"/>
              </w:rPr>
            </w:pPr>
          </w:p>
        </w:tc>
        <w:tc>
          <w:tcPr>
            <w:tcW w:w="805" w:type="dxa"/>
            <w:tcBorders>
              <w:top w:val="nil"/>
              <w:left w:val="nil"/>
              <w:bottom w:val="nil"/>
              <w:right w:val="nil"/>
            </w:tcBorders>
            <w:shd w:val="clear" w:color="auto" w:fill="auto"/>
            <w:noWrap/>
            <w:vAlign w:val="center"/>
            <w:hideMark/>
          </w:tcPr>
          <w:p w:rsidR="00826290" w:rsidRPr="00826290" w:rsidRDefault="00826290" w:rsidP="00826290">
            <w:pPr>
              <w:spacing w:after="0" w:line="240" w:lineRule="auto"/>
              <w:jc w:val="center"/>
              <w:rPr>
                <w:rFonts w:ascii="Times New Roman" w:eastAsia="Times New Roman" w:hAnsi="Times New Roman" w:cs="Times New Roman"/>
                <w:sz w:val="20"/>
                <w:szCs w:val="20"/>
              </w:rPr>
            </w:pPr>
          </w:p>
        </w:tc>
      </w:tr>
      <w:tr w:rsidR="00826290" w:rsidRPr="00826290" w:rsidTr="00826290">
        <w:trPr>
          <w:trHeight w:val="273"/>
        </w:trPr>
        <w:tc>
          <w:tcPr>
            <w:tcW w:w="1912" w:type="dxa"/>
            <w:tcBorders>
              <w:top w:val="nil"/>
              <w:left w:val="nil"/>
              <w:bottom w:val="nil"/>
              <w:right w:val="nil"/>
            </w:tcBorders>
            <w:shd w:val="clear" w:color="auto" w:fill="auto"/>
            <w:noWrap/>
            <w:vAlign w:val="center"/>
            <w:hideMark/>
          </w:tcPr>
          <w:p w:rsidR="00826290" w:rsidRPr="00826290" w:rsidRDefault="00A376E8" w:rsidP="0082629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MAPE</w:t>
            </w:r>
          </w:p>
        </w:tc>
        <w:tc>
          <w:tcPr>
            <w:tcW w:w="805" w:type="dxa"/>
            <w:tcBorders>
              <w:top w:val="nil"/>
              <w:left w:val="nil"/>
              <w:bottom w:val="nil"/>
              <w:right w:val="nil"/>
            </w:tcBorders>
            <w:shd w:val="clear" w:color="auto" w:fill="auto"/>
            <w:noWrap/>
            <w:vAlign w:val="center"/>
            <w:hideMark/>
          </w:tcPr>
          <w:p w:rsidR="00826290" w:rsidRPr="00826290" w:rsidRDefault="00826290" w:rsidP="00826290">
            <w:pPr>
              <w:spacing w:after="0" w:line="240" w:lineRule="auto"/>
              <w:jc w:val="center"/>
              <w:rPr>
                <w:rFonts w:ascii="Calibri" w:eastAsia="Times New Roman" w:hAnsi="Calibri" w:cs="Calibri"/>
                <w:color w:val="000000"/>
                <w:sz w:val="20"/>
                <w:szCs w:val="20"/>
              </w:rPr>
            </w:pPr>
            <w:r w:rsidRPr="00826290">
              <w:rPr>
                <w:rFonts w:ascii="Calibri" w:eastAsia="Times New Roman" w:hAnsi="Calibri" w:cs="Calibri"/>
                <w:color w:val="000000"/>
                <w:sz w:val="20"/>
                <w:szCs w:val="20"/>
              </w:rPr>
              <w:t>3.7%</w:t>
            </w:r>
          </w:p>
        </w:tc>
        <w:tc>
          <w:tcPr>
            <w:tcW w:w="805" w:type="dxa"/>
            <w:tcBorders>
              <w:top w:val="nil"/>
              <w:left w:val="nil"/>
              <w:bottom w:val="nil"/>
              <w:right w:val="nil"/>
            </w:tcBorders>
            <w:shd w:val="clear" w:color="auto" w:fill="auto"/>
            <w:noWrap/>
            <w:vAlign w:val="center"/>
            <w:hideMark/>
          </w:tcPr>
          <w:p w:rsidR="00826290" w:rsidRPr="00826290" w:rsidRDefault="00826290" w:rsidP="00826290">
            <w:pPr>
              <w:spacing w:after="0" w:line="240" w:lineRule="auto"/>
              <w:jc w:val="center"/>
              <w:rPr>
                <w:rFonts w:ascii="Calibri" w:eastAsia="Times New Roman" w:hAnsi="Calibri" w:cs="Calibri"/>
                <w:color w:val="000000"/>
                <w:sz w:val="20"/>
                <w:szCs w:val="20"/>
              </w:rPr>
            </w:pPr>
            <w:r w:rsidRPr="00826290">
              <w:rPr>
                <w:rFonts w:ascii="Calibri" w:eastAsia="Times New Roman" w:hAnsi="Calibri" w:cs="Calibri"/>
                <w:color w:val="000000"/>
                <w:sz w:val="20"/>
                <w:szCs w:val="20"/>
              </w:rPr>
              <w:t>16.1%</w:t>
            </w:r>
          </w:p>
        </w:tc>
        <w:tc>
          <w:tcPr>
            <w:tcW w:w="805" w:type="dxa"/>
            <w:tcBorders>
              <w:top w:val="nil"/>
              <w:left w:val="nil"/>
              <w:bottom w:val="nil"/>
              <w:right w:val="nil"/>
            </w:tcBorders>
            <w:shd w:val="clear" w:color="auto" w:fill="auto"/>
            <w:noWrap/>
            <w:vAlign w:val="center"/>
            <w:hideMark/>
          </w:tcPr>
          <w:p w:rsidR="00826290" w:rsidRPr="00826290" w:rsidRDefault="00826290" w:rsidP="00826290">
            <w:pPr>
              <w:spacing w:after="0" w:line="240" w:lineRule="auto"/>
              <w:jc w:val="center"/>
              <w:rPr>
                <w:rFonts w:ascii="Calibri" w:eastAsia="Times New Roman" w:hAnsi="Calibri" w:cs="Calibri"/>
                <w:color w:val="000000"/>
                <w:sz w:val="20"/>
                <w:szCs w:val="20"/>
              </w:rPr>
            </w:pPr>
            <w:r w:rsidRPr="00826290">
              <w:rPr>
                <w:rFonts w:ascii="Calibri" w:eastAsia="Times New Roman" w:hAnsi="Calibri" w:cs="Calibri"/>
                <w:color w:val="000000"/>
                <w:sz w:val="20"/>
                <w:szCs w:val="20"/>
              </w:rPr>
              <w:t>15.2%</w:t>
            </w:r>
          </w:p>
        </w:tc>
        <w:tc>
          <w:tcPr>
            <w:tcW w:w="805" w:type="dxa"/>
            <w:tcBorders>
              <w:top w:val="nil"/>
              <w:left w:val="nil"/>
              <w:bottom w:val="nil"/>
              <w:right w:val="nil"/>
            </w:tcBorders>
            <w:shd w:val="clear" w:color="auto" w:fill="auto"/>
            <w:noWrap/>
            <w:vAlign w:val="center"/>
            <w:hideMark/>
          </w:tcPr>
          <w:p w:rsidR="00826290" w:rsidRPr="00826290" w:rsidRDefault="00826290" w:rsidP="00826290">
            <w:pPr>
              <w:spacing w:after="0" w:line="240" w:lineRule="auto"/>
              <w:jc w:val="center"/>
              <w:rPr>
                <w:rFonts w:ascii="Calibri" w:eastAsia="Times New Roman" w:hAnsi="Calibri" w:cs="Calibri"/>
                <w:color w:val="000000"/>
                <w:sz w:val="20"/>
                <w:szCs w:val="20"/>
              </w:rPr>
            </w:pPr>
            <w:r w:rsidRPr="00826290">
              <w:rPr>
                <w:rFonts w:ascii="Calibri" w:eastAsia="Times New Roman" w:hAnsi="Calibri" w:cs="Calibri"/>
                <w:color w:val="000000"/>
                <w:sz w:val="20"/>
                <w:szCs w:val="20"/>
              </w:rPr>
              <w:t>9.8%</w:t>
            </w:r>
          </w:p>
        </w:tc>
        <w:tc>
          <w:tcPr>
            <w:tcW w:w="805" w:type="dxa"/>
            <w:tcBorders>
              <w:top w:val="nil"/>
              <w:left w:val="nil"/>
              <w:bottom w:val="nil"/>
              <w:right w:val="nil"/>
            </w:tcBorders>
            <w:shd w:val="clear" w:color="auto" w:fill="auto"/>
            <w:noWrap/>
            <w:vAlign w:val="center"/>
            <w:hideMark/>
          </w:tcPr>
          <w:p w:rsidR="00826290" w:rsidRPr="00826290" w:rsidRDefault="00826290" w:rsidP="00826290">
            <w:pPr>
              <w:spacing w:after="0" w:line="240" w:lineRule="auto"/>
              <w:jc w:val="center"/>
              <w:rPr>
                <w:rFonts w:ascii="Calibri" w:eastAsia="Times New Roman" w:hAnsi="Calibri" w:cs="Calibri"/>
                <w:color w:val="000000"/>
                <w:sz w:val="20"/>
                <w:szCs w:val="20"/>
              </w:rPr>
            </w:pPr>
            <w:r w:rsidRPr="00826290">
              <w:rPr>
                <w:rFonts w:ascii="Calibri" w:eastAsia="Times New Roman" w:hAnsi="Calibri" w:cs="Calibri"/>
                <w:color w:val="000000"/>
                <w:sz w:val="20"/>
                <w:szCs w:val="20"/>
              </w:rPr>
              <w:t>22.1%</w:t>
            </w:r>
          </w:p>
        </w:tc>
        <w:tc>
          <w:tcPr>
            <w:tcW w:w="805" w:type="dxa"/>
            <w:tcBorders>
              <w:top w:val="nil"/>
              <w:left w:val="nil"/>
              <w:bottom w:val="nil"/>
              <w:right w:val="nil"/>
            </w:tcBorders>
            <w:shd w:val="clear" w:color="auto" w:fill="auto"/>
            <w:noWrap/>
            <w:vAlign w:val="center"/>
            <w:hideMark/>
          </w:tcPr>
          <w:p w:rsidR="00826290" w:rsidRPr="00826290" w:rsidRDefault="00826290" w:rsidP="00826290">
            <w:pPr>
              <w:spacing w:after="0" w:line="240" w:lineRule="auto"/>
              <w:jc w:val="center"/>
              <w:rPr>
                <w:rFonts w:ascii="Calibri" w:eastAsia="Times New Roman" w:hAnsi="Calibri" w:cs="Calibri"/>
                <w:color w:val="000000"/>
                <w:sz w:val="20"/>
                <w:szCs w:val="20"/>
              </w:rPr>
            </w:pPr>
            <w:r w:rsidRPr="00826290">
              <w:rPr>
                <w:rFonts w:ascii="Calibri" w:eastAsia="Times New Roman" w:hAnsi="Calibri" w:cs="Calibri"/>
                <w:color w:val="000000"/>
                <w:sz w:val="20"/>
                <w:szCs w:val="20"/>
              </w:rPr>
              <w:t>1.9%</w:t>
            </w:r>
          </w:p>
        </w:tc>
        <w:tc>
          <w:tcPr>
            <w:tcW w:w="805" w:type="dxa"/>
            <w:tcBorders>
              <w:top w:val="nil"/>
              <w:left w:val="nil"/>
              <w:bottom w:val="nil"/>
              <w:right w:val="nil"/>
            </w:tcBorders>
            <w:shd w:val="clear" w:color="auto" w:fill="auto"/>
            <w:noWrap/>
            <w:vAlign w:val="center"/>
            <w:hideMark/>
          </w:tcPr>
          <w:p w:rsidR="00826290" w:rsidRPr="00826290" w:rsidRDefault="00826290" w:rsidP="00826290">
            <w:pPr>
              <w:spacing w:after="0" w:line="240" w:lineRule="auto"/>
              <w:jc w:val="center"/>
              <w:rPr>
                <w:rFonts w:ascii="Calibri" w:eastAsia="Times New Roman" w:hAnsi="Calibri" w:cs="Calibri"/>
                <w:color w:val="000000"/>
                <w:sz w:val="20"/>
                <w:szCs w:val="20"/>
              </w:rPr>
            </w:pPr>
            <w:r w:rsidRPr="00826290">
              <w:rPr>
                <w:rFonts w:ascii="Calibri" w:eastAsia="Times New Roman" w:hAnsi="Calibri" w:cs="Calibri"/>
                <w:color w:val="000000"/>
                <w:sz w:val="20"/>
                <w:szCs w:val="20"/>
              </w:rPr>
              <w:t>2.3%</w:t>
            </w:r>
          </w:p>
        </w:tc>
        <w:tc>
          <w:tcPr>
            <w:tcW w:w="805" w:type="dxa"/>
            <w:tcBorders>
              <w:top w:val="nil"/>
              <w:left w:val="nil"/>
              <w:bottom w:val="nil"/>
              <w:right w:val="nil"/>
            </w:tcBorders>
            <w:shd w:val="clear" w:color="auto" w:fill="auto"/>
            <w:noWrap/>
            <w:vAlign w:val="center"/>
            <w:hideMark/>
          </w:tcPr>
          <w:p w:rsidR="00826290" w:rsidRPr="00826290" w:rsidRDefault="00826290" w:rsidP="00826290">
            <w:pPr>
              <w:spacing w:after="0" w:line="240" w:lineRule="auto"/>
              <w:jc w:val="center"/>
              <w:rPr>
                <w:rFonts w:ascii="Calibri" w:eastAsia="Times New Roman" w:hAnsi="Calibri" w:cs="Calibri"/>
                <w:color w:val="000000"/>
                <w:sz w:val="20"/>
                <w:szCs w:val="20"/>
              </w:rPr>
            </w:pPr>
            <w:r w:rsidRPr="00826290">
              <w:rPr>
                <w:rFonts w:ascii="Calibri" w:eastAsia="Times New Roman" w:hAnsi="Calibri" w:cs="Calibri"/>
                <w:color w:val="000000"/>
                <w:sz w:val="20"/>
                <w:szCs w:val="20"/>
              </w:rPr>
              <w:t>24.6%</w:t>
            </w:r>
          </w:p>
        </w:tc>
        <w:tc>
          <w:tcPr>
            <w:tcW w:w="805" w:type="dxa"/>
            <w:tcBorders>
              <w:top w:val="nil"/>
              <w:left w:val="nil"/>
              <w:bottom w:val="nil"/>
              <w:right w:val="nil"/>
            </w:tcBorders>
            <w:shd w:val="clear" w:color="auto" w:fill="auto"/>
            <w:noWrap/>
            <w:vAlign w:val="center"/>
            <w:hideMark/>
          </w:tcPr>
          <w:p w:rsidR="00826290" w:rsidRPr="00826290" w:rsidRDefault="00A42BE1" w:rsidP="00826290">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37.1</w:t>
            </w:r>
            <w:r w:rsidR="00826290" w:rsidRPr="00826290">
              <w:rPr>
                <w:rFonts w:ascii="Calibri" w:eastAsia="Times New Roman" w:hAnsi="Calibri" w:cs="Calibri"/>
                <w:color w:val="000000"/>
                <w:sz w:val="20"/>
                <w:szCs w:val="20"/>
              </w:rPr>
              <w:t>%</w:t>
            </w:r>
          </w:p>
        </w:tc>
        <w:tc>
          <w:tcPr>
            <w:tcW w:w="805" w:type="dxa"/>
            <w:tcBorders>
              <w:top w:val="nil"/>
              <w:left w:val="nil"/>
              <w:bottom w:val="nil"/>
              <w:right w:val="nil"/>
            </w:tcBorders>
            <w:shd w:val="clear" w:color="auto" w:fill="auto"/>
            <w:noWrap/>
            <w:vAlign w:val="center"/>
            <w:hideMark/>
          </w:tcPr>
          <w:p w:rsidR="00826290" w:rsidRPr="00826290" w:rsidRDefault="00826290" w:rsidP="00826290">
            <w:pPr>
              <w:spacing w:after="0" w:line="240" w:lineRule="auto"/>
              <w:jc w:val="center"/>
              <w:rPr>
                <w:rFonts w:ascii="Calibri" w:eastAsia="Times New Roman" w:hAnsi="Calibri" w:cs="Calibri"/>
                <w:color w:val="000000"/>
                <w:sz w:val="20"/>
                <w:szCs w:val="20"/>
              </w:rPr>
            </w:pPr>
          </w:p>
        </w:tc>
        <w:tc>
          <w:tcPr>
            <w:tcW w:w="805" w:type="dxa"/>
            <w:tcBorders>
              <w:top w:val="nil"/>
              <w:left w:val="nil"/>
              <w:bottom w:val="nil"/>
              <w:right w:val="nil"/>
            </w:tcBorders>
            <w:shd w:val="clear" w:color="auto" w:fill="auto"/>
            <w:noWrap/>
            <w:vAlign w:val="center"/>
            <w:hideMark/>
          </w:tcPr>
          <w:p w:rsidR="00826290" w:rsidRPr="00826290" w:rsidRDefault="00826290" w:rsidP="00826290">
            <w:pPr>
              <w:spacing w:after="0" w:line="240" w:lineRule="auto"/>
              <w:jc w:val="center"/>
              <w:rPr>
                <w:rFonts w:ascii="Times New Roman" w:eastAsia="Times New Roman" w:hAnsi="Times New Roman" w:cs="Times New Roman"/>
                <w:sz w:val="20"/>
                <w:szCs w:val="20"/>
              </w:rPr>
            </w:pPr>
          </w:p>
        </w:tc>
      </w:tr>
    </w:tbl>
    <w:p w:rsidR="00826290" w:rsidRDefault="00826290" w:rsidP="005960C7">
      <w:pPr>
        <w:pStyle w:val="ListParagraph"/>
        <w:ind w:left="0"/>
      </w:pPr>
    </w:p>
    <w:p w:rsidR="005960C7" w:rsidRDefault="005960C7" w:rsidP="005960C7">
      <w:pPr>
        <w:pStyle w:val="ListParagraph"/>
        <w:ind w:left="0"/>
      </w:pPr>
      <w:r>
        <w:t>RMSE</w:t>
      </w:r>
      <w:r w:rsidR="00163F83">
        <w:t>%</w:t>
      </w:r>
      <w:r>
        <w:t xml:space="preserve"> (Feb – Oct): </w:t>
      </w:r>
      <w:r w:rsidR="0082770E">
        <w:t>20.0</w:t>
      </w:r>
      <w:r>
        <w:t>%</w:t>
      </w:r>
    </w:p>
    <w:p w:rsidR="00826290" w:rsidRDefault="00826290" w:rsidP="008161D9">
      <w:pPr>
        <w:pStyle w:val="ListParagraph"/>
        <w:ind w:left="0"/>
      </w:pPr>
    </w:p>
    <w:p w:rsidR="008161D9" w:rsidRPr="00826290" w:rsidRDefault="008161D9" w:rsidP="008161D9">
      <w:pPr>
        <w:pStyle w:val="ListParagraph"/>
        <w:ind w:left="0"/>
        <w:rPr>
          <w:u w:val="single"/>
        </w:rPr>
      </w:pPr>
      <w:r>
        <w:t xml:space="preserve"> </w:t>
      </w:r>
      <w:r w:rsidR="00826290" w:rsidRPr="00826290">
        <w:rPr>
          <w:u w:val="single"/>
        </w:rPr>
        <w:t>Objective</w:t>
      </w:r>
    </w:p>
    <w:p w:rsidR="007375DD" w:rsidRDefault="00826290" w:rsidP="008161D9">
      <w:pPr>
        <w:pStyle w:val="ListParagraph"/>
        <w:ind w:left="0"/>
      </w:pPr>
      <w:r>
        <w:t xml:space="preserve">Develop a forecasting tool / model </w:t>
      </w:r>
      <w:r w:rsidR="005960C7">
        <w:t>to predict</w:t>
      </w:r>
      <w:r w:rsidR="00A010D6">
        <w:t xml:space="preserve"> </w:t>
      </w:r>
      <w:r w:rsidR="005960C7">
        <w:t>application and funding counts &amp; volume at the daily</w:t>
      </w:r>
      <w:r w:rsidR="005F084B">
        <w:t>, weekly or monthly</w:t>
      </w:r>
      <w:r w:rsidR="005960C7">
        <w:t xml:space="preserve"> level.</w:t>
      </w:r>
      <w:r w:rsidR="00916E2C">
        <w:t xml:space="preserve"> </w:t>
      </w:r>
      <w:r w:rsidR="007375DD">
        <w:t xml:space="preserve">Forecasting tool should </w:t>
      </w:r>
      <w:r w:rsidR="005F084B">
        <w:t xml:space="preserve">incorporate </w:t>
      </w:r>
      <w:r w:rsidR="007375DD">
        <w:t>the impact of initiatives, such as Marketing campaigns</w:t>
      </w:r>
      <w:r w:rsidR="0059440C">
        <w:t>, aggregators etc</w:t>
      </w:r>
      <w:r w:rsidR="007375DD">
        <w:t xml:space="preserve">. </w:t>
      </w:r>
    </w:p>
    <w:p w:rsidR="007375DD" w:rsidRDefault="007375DD" w:rsidP="008161D9">
      <w:pPr>
        <w:pStyle w:val="ListParagraph"/>
        <w:ind w:left="0"/>
      </w:pPr>
    </w:p>
    <w:p w:rsidR="00916E2C" w:rsidRDefault="00916E2C" w:rsidP="008161D9">
      <w:pPr>
        <w:pStyle w:val="ListParagraph"/>
        <w:ind w:left="0"/>
      </w:pPr>
      <w:r>
        <w:t xml:space="preserve">Training dataset with daily application counts, app volume, funded counts and funded volumes are included with this case study. The dataset comprises actual data from </w:t>
      </w:r>
      <w:r w:rsidR="00B9270E">
        <w:t>Jan ‘16</w:t>
      </w:r>
      <w:r>
        <w:t xml:space="preserve"> – </w:t>
      </w:r>
      <w:r w:rsidR="00B9270E">
        <w:t>Oct</w:t>
      </w:r>
      <w:r>
        <w:t xml:space="preserve"> </w:t>
      </w:r>
      <w:proofErr w:type="gramStart"/>
      <w:r>
        <w:t>‘ 19</w:t>
      </w:r>
      <w:proofErr w:type="gramEnd"/>
      <w:r>
        <w:t xml:space="preserve">. </w:t>
      </w:r>
      <w:r w:rsidR="00B9270E">
        <w:t xml:space="preserve">The dataset should be split into training data (Jan ’16 – Jun ’19) and testing data (Jul ’19 – Oct ’19). </w:t>
      </w:r>
      <w:r>
        <w:t>The forecast tool / model should be developed on t</w:t>
      </w:r>
      <w:r w:rsidR="00B9270E">
        <w:t>he</w:t>
      </w:r>
      <w:r>
        <w:t xml:space="preserve"> training dataset</w:t>
      </w:r>
      <w:r w:rsidR="00B9270E">
        <w:t xml:space="preserve"> and validated against the test dataset</w:t>
      </w:r>
      <w:r w:rsidR="007375DD">
        <w:t>.</w:t>
      </w:r>
      <w:r w:rsidR="00B9270E">
        <w:t xml:space="preserve"> It is recommended that Refinances and In-School loans be handled separately.</w:t>
      </w:r>
    </w:p>
    <w:p w:rsidR="00916E2C" w:rsidRDefault="00916E2C" w:rsidP="008161D9">
      <w:pPr>
        <w:pStyle w:val="ListParagraph"/>
        <w:ind w:left="0"/>
      </w:pPr>
    </w:p>
    <w:p w:rsidR="005960C7" w:rsidRDefault="00916E2C" w:rsidP="008161D9">
      <w:pPr>
        <w:pStyle w:val="ListParagraph"/>
        <w:ind w:left="0"/>
      </w:pPr>
      <w:r>
        <w:t>Once the forecasting methodology / model has been developed using the training dataset, participants will use it to predict the application and funded counts and volume for</w:t>
      </w:r>
      <w:r w:rsidR="00B9270E">
        <w:t xml:space="preserve"> Jul</w:t>
      </w:r>
      <w:r>
        <w:t xml:space="preserve"> </w:t>
      </w:r>
      <w:proofErr w:type="gramStart"/>
      <w:r>
        <w:t>‘ 19</w:t>
      </w:r>
      <w:proofErr w:type="gramEnd"/>
      <w:r>
        <w:t xml:space="preserve"> – Oct ’19 time period.</w:t>
      </w:r>
      <w:r w:rsidR="006F35E5">
        <w:t xml:space="preserve"> </w:t>
      </w:r>
      <w:r w:rsidR="00FA1502">
        <w:t xml:space="preserve">Only attributes that are known as of Jun 30, 2019 should be used in prediction i.e. actual LIBOR rates from Jul – Oct ’19 should not be used to make the prediction. </w:t>
      </w:r>
      <w:r w:rsidR="006F35E5">
        <w:t>The winning model will be selected based upon the evaluation criteria described below.</w:t>
      </w:r>
    </w:p>
    <w:p w:rsidR="005960C7" w:rsidRDefault="005960C7" w:rsidP="008161D9">
      <w:pPr>
        <w:pStyle w:val="ListParagraph"/>
        <w:ind w:left="0"/>
      </w:pPr>
    </w:p>
    <w:p w:rsidR="005960C7" w:rsidRDefault="005960C7" w:rsidP="008161D9">
      <w:pPr>
        <w:pStyle w:val="ListParagraph"/>
        <w:ind w:left="0"/>
      </w:pPr>
    </w:p>
    <w:p w:rsidR="005960C7" w:rsidRPr="005960C7" w:rsidRDefault="005960C7" w:rsidP="008161D9">
      <w:pPr>
        <w:pStyle w:val="ListParagraph"/>
        <w:ind w:left="0"/>
        <w:rPr>
          <w:u w:val="single"/>
        </w:rPr>
      </w:pPr>
      <w:r w:rsidRPr="005960C7">
        <w:rPr>
          <w:u w:val="single"/>
        </w:rPr>
        <w:t>Evaluation Criteria</w:t>
      </w:r>
    </w:p>
    <w:p w:rsidR="00826290" w:rsidRDefault="005960C7" w:rsidP="008161D9">
      <w:pPr>
        <w:pStyle w:val="ListParagraph"/>
        <w:ind w:left="0"/>
      </w:pPr>
      <w:r>
        <w:t>Root Mean Square Error (RMSE</w:t>
      </w:r>
      <w:r w:rsidR="003809EF">
        <w:t>%</w:t>
      </w:r>
      <w:r>
        <w:t xml:space="preserve">) for funded volume ($) forecast in the test </w:t>
      </w:r>
      <w:r w:rsidR="00B9270E">
        <w:t xml:space="preserve">period (Jul ’19 – </w:t>
      </w:r>
      <w:r w:rsidR="00000068">
        <w:t>Nov</w:t>
      </w:r>
      <w:r w:rsidR="00B9270E">
        <w:t xml:space="preserve"> ’19)</w:t>
      </w:r>
      <w:r>
        <w:t xml:space="preserve"> will be the primary metric to evaluate the best forecast. RMSE is calculated as follows:</w:t>
      </w:r>
    </w:p>
    <w:p w:rsidR="005960C7" w:rsidRDefault="005960C7" w:rsidP="008161D9">
      <w:pPr>
        <w:pStyle w:val="ListParagraph"/>
        <w:ind w:left="0"/>
      </w:pPr>
      <w:r>
        <w:rPr>
          <w:noProof/>
        </w:rPr>
        <w:drawing>
          <wp:inline distT="0" distB="0" distL="0" distR="0" wp14:anchorId="4868CAED" wp14:editId="773DBD3C">
            <wp:extent cx="1990725" cy="790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3494" t="46487" r="33013" b="33312"/>
                    <a:stretch/>
                  </pic:blipFill>
                  <pic:spPr bwMode="auto">
                    <a:xfrm>
                      <a:off x="0" y="0"/>
                      <a:ext cx="1990725" cy="790575"/>
                    </a:xfrm>
                    <a:prstGeom prst="rect">
                      <a:avLst/>
                    </a:prstGeom>
                    <a:ln>
                      <a:noFill/>
                    </a:ln>
                    <a:extLst>
                      <a:ext uri="{53640926-AAD7-44D8-BBD7-CCE9431645EC}">
                        <a14:shadowObscured xmlns:a14="http://schemas.microsoft.com/office/drawing/2010/main"/>
                      </a:ext>
                    </a:extLst>
                  </pic:spPr>
                </pic:pic>
              </a:graphicData>
            </a:graphic>
          </wp:inline>
        </w:drawing>
      </w:r>
    </w:p>
    <w:p w:rsidR="005960C7" w:rsidRDefault="005960C7" w:rsidP="008161D9">
      <w:pPr>
        <w:pStyle w:val="ListParagraph"/>
        <w:ind w:left="0"/>
      </w:pPr>
    </w:p>
    <w:p w:rsidR="005960C7" w:rsidRDefault="005960C7" w:rsidP="008161D9">
      <w:pPr>
        <w:pStyle w:val="ListParagraph"/>
        <w:ind w:left="0"/>
      </w:pPr>
      <w:r>
        <w:t xml:space="preserve">In addition to RMSE for funded volume, RMSE for application count, application volume and funded count may be used </w:t>
      </w:r>
      <w:r w:rsidR="00916E2C">
        <w:t>to additional evaluation metrics</w:t>
      </w:r>
      <w:r w:rsidR="003809EF">
        <w:t xml:space="preserve"> to break ties</w:t>
      </w:r>
      <w:r w:rsidR="00916E2C">
        <w:t>.</w:t>
      </w:r>
    </w:p>
    <w:p w:rsidR="006F35E5" w:rsidRDefault="006F35E5" w:rsidP="008161D9">
      <w:pPr>
        <w:pStyle w:val="ListParagraph"/>
        <w:ind w:left="0"/>
      </w:pPr>
    </w:p>
    <w:p w:rsidR="006F35E5" w:rsidRPr="008E0C52" w:rsidRDefault="006F35E5" w:rsidP="008161D9">
      <w:pPr>
        <w:pStyle w:val="ListParagraph"/>
        <w:ind w:left="0"/>
        <w:rPr>
          <w:u w:val="single"/>
        </w:rPr>
      </w:pPr>
      <w:r w:rsidRPr="008E0C52">
        <w:rPr>
          <w:u w:val="single"/>
        </w:rPr>
        <w:t>Factors to Consider</w:t>
      </w:r>
    </w:p>
    <w:p w:rsidR="006F35E5" w:rsidRDefault="006F35E5" w:rsidP="008161D9">
      <w:pPr>
        <w:pStyle w:val="ListParagraph"/>
        <w:ind w:left="0"/>
      </w:pPr>
      <w:r>
        <w:t>Participants should consider the following factors that may influence the forecast accuracy.</w:t>
      </w:r>
    </w:p>
    <w:p w:rsidR="006F35E5" w:rsidRDefault="006F35E5" w:rsidP="006F35E5">
      <w:pPr>
        <w:pStyle w:val="ListParagraph"/>
        <w:numPr>
          <w:ilvl w:val="0"/>
          <w:numId w:val="2"/>
        </w:numPr>
      </w:pPr>
      <w:r w:rsidRPr="008E0C52">
        <w:rPr>
          <w:u w:val="single"/>
        </w:rPr>
        <w:t>Macro-Economic Environment</w:t>
      </w:r>
      <w:r>
        <w:t xml:space="preserve">: overall macro factors, such as unemployment rate, interest rate, inflation rate etc. might play a role in borrower’s decision to refinance. </w:t>
      </w:r>
      <w:r w:rsidR="008E0C52">
        <w:t>Data.Gov</w:t>
      </w:r>
      <w:r w:rsidR="00905095">
        <w:t>, TreasuryDirect.Gov</w:t>
      </w:r>
      <w:r w:rsidR="008E0C52">
        <w:t xml:space="preserve"> and CBO.Gov are great sources for macro variables to include in the forecast</w:t>
      </w:r>
      <w:r w:rsidR="00B9270E">
        <w:t>. A few macro attributes are included as part of the case study dataset</w:t>
      </w:r>
    </w:p>
    <w:p w:rsidR="008E0C52" w:rsidRDefault="008E0C52" w:rsidP="006F35E5">
      <w:pPr>
        <w:pStyle w:val="ListParagraph"/>
        <w:numPr>
          <w:ilvl w:val="0"/>
          <w:numId w:val="2"/>
        </w:numPr>
      </w:pPr>
      <w:r w:rsidRPr="008E0C52">
        <w:rPr>
          <w:u w:val="single"/>
        </w:rPr>
        <w:t>Competitive Rate Environment</w:t>
      </w:r>
      <w:r>
        <w:t>: Laurel Road Marketing team generates a weekly report with comparison of Laurel Road rates vs. select competitors. Borrowers decision to use Laurel Road may be influenced by competitor’s rates</w:t>
      </w:r>
      <w:r w:rsidR="00B9270E">
        <w:t xml:space="preserve">. </w:t>
      </w:r>
    </w:p>
    <w:p w:rsidR="00B354CC" w:rsidRDefault="00B354CC" w:rsidP="006F35E5">
      <w:pPr>
        <w:pStyle w:val="ListParagraph"/>
        <w:numPr>
          <w:ilvl w:val="0"/>
          <w:numId w:val="2"/>
        </w:numPr>
      </w:pPr>
      <w:r w:rsidRPr="00EF3E46">
        <w:rPr>
          <w:u w:val="single"/>
        </w:rPr>
        <w:t>Laurel Road Rates</w:t>
      </w:r>
      <w:r>
        <w:t xml:space="preserve">: </w:t>
      </w:r>
      <w:r w:rsidR="00B135DE">
        <w:t>D</w:t>
      </w:r>
      <w:r>
        <w:t>rop in rates post-LD1 had significant impact on the close rate</w:t>
      </w:r>
      <w:r w:rsidR="00EF3E46">
        <w:t xml:space="preserve"> as illustrated in the chart below</w:t>
      </w:r>
    </w:p>
    <w:p w:rsidR="00EF3E46" w:rsidRDefault="00EF3E46" w:rsidP="00EF3E46">
      <w:pPr>
        <w:jc w:val="center"/>
      </w:pPr>
      <w:r>
        <w:rPr>
          <w:noProof/>
        </w:rPr>
        <w:drawing>
          <wp:inline distT="0" distB="0" distL="0" distR="0" wp14:anchorId="7BAC8790">
            <wp:extent cx="6509012" cy="23341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80804" cy="2359873"/>
                    </a:xfrm>
                    <a:prstGeom prst="rect">
                      <a:avLst/>
                    </a:prstGeom>
                    <a:noFill/>
                  </pic:spPr>
                </pic:pic>
              </a:graphicData>
            </a:graphic>
          </wp:inline>
        </w:drawing>
      </w:r>
    </w:p>
    <w:p w:rsidR="008E0C52" w:rsidRDefault="008E0C52" w:rsidP="006F35E5">
      <w:pPr>
        <w:pStyle w:val="ListParagraph"/>
        <w:numPr>
          <w:ilvl w:val="0"/>
          <w:numId w:val="2"/>
        </w:numPr>
      </w:pPr>
      <w:r w:rsidRPr="00EF3E46">
        <w:rPr>
          <w:u w:val="single"/>
        </w:rPr>
        <w:t>Seasonality</w:t>
      </w:r>
      <w:r w:rsidR="00EF3E46">
        <w:t>: As illustrated by the chart below, the application and closed volumes are seasonal in nature</w:t>
      </w:r>
      <w:r w:rsidR="008D51F0">
        <w:t xml:space="preserve"> with the </w:t>
      </w:r>
      <w:r w:rsidR="00905AA8">
        <w:t xml:space="preserve">Nov-Dec </w:t>
      </w:r>
      <w:r w:rsidR="001A0DA6">
        <w:t xml:space="preserve">traditionally </w:t>
      </w:r>
      <w:r w:rsidR="00905AA8">
        <w:t>being slow months</w:t>
      </w:r>
    </w:p>
    <w:p w:rsidR="00905AA8" w:rsidRDefault="00905AA8" w:rsidP="00905AA8">
      <w:r w:rsidRPr="00905AA8">
        <w:rPr>
          <w:noProof/>
        </w:rPr>
        <w:lastRenderedPageBreak/>
        <w:drawing>
          <wp:inline distT="0" distB="0" distL="0" distR="0" wp14:anchorId="0809E720" wp14:editId="0399703C">
            <wp:extent cx="5943600" cy="2867025"/>
            <wp:effectExtent l="0" t="0" r="0" b="9525"/>
            <wp:docPr id="3" name="Chart 3">
              <a:extLst xmlns:a="http://schemas.openxmlformats.org/drawingml/2006/main">
                <a:ext uri="{FF2B5EF4-FFF2-40B4-BE49-F238E27FC236}">
                  <a16:creationId xmlns:a16="http://schemas.microsoft.com/office/drawing/2014/main" id="{54F98891-9B91-4332-B57E-E3252B4064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05AA8" w:rsidRDefault="00905AA8" w:rsidP="00905AA8">
      <w:r w:rsidRPr="00905AA8">
        <w:rPr>
          <w:noProof/>
        </w:rPr>
        <w:drawing>
          <wp:inline distT="0" distB="0" distL="0" distR="0" wp14:anchorId="19276511" wp14:editId="4C70C532">
            <wp:extent cx="5943600" cy="2867025"/>
            <wp:effectExtent l="0" t="0" r="0" b="9525"/>
            <wp:docPr id="4" name="Chart 4">
              <a:extLst xmlns:a="http://schemas.openxmlformats.org/drawingml/2006/main">
                <a:ext uri="{FF2B5EF4-FFF2-40B4-BE49-F238E27FC236}">
                  <a16:creationId xmlns:a16="http://schemas.microsoft.com/office/drawing/2014/main" id="{54F98891-9B91-4332-B57E-E3252B4064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E0C52" w:rsidRDefault="008E0C52" w:rsidP="006F35E5">
      <w:pPr>
        <w:pStyle w:val="ListParagraph"/>
        <w:numPr>
          <w:ilvl w:val="0"/>
          <w:numId w:val="2"/>
        </w:numPr>
      </w:pPr>
      <w:r w:rsidRPr="00CA41FD">
        <w:rPr>
          <w:u w:val="single"/>
        </w:rPr>
        <w:t>Day of Week</w:t>
      </w:r>
      <w:r w:rsidR="00CA41FD">
        <w:t>: As the chart below shows, the app volume is higher Mon – Thu and lower during the weekends. Participants may want to factor in the day of week if developing the forecast at the daily level.</w:t>
      </w:r>
    </w:p>
    <w:p w:rsidR="00ED0522" w:rsidRDefault="001E1C08" w:rsidP="001E1C08">
      <w:pPr>
        <w:ind w:left="360"/>
        <w:jc w:val="center"/>
      </w:pPr>
      <w:r>
        <w:rPr>
          <w:noProof/>
        </w:rPr>
        <w:lastRenderedPageBreak/>
        <w:drawing>
          <wp:inline distT="0" distB="0" distL="0" distR="0" wp14:anchorId="021370E7">
            <wp:extent cx="5305425" cy="31682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8348" cy="3187956"/>
                    </a:xfrm>
                    <a:prstGeom prst="rect">
                      <a:avLst/>
                    </a:prstGeom>
                    <a:noFill/>
                  </pic:spPr>
                </pic:pic>
              </a:graphicData>
            </a:graphic>
          </wp:inline>
        </w:drawing>
      </w:r>
    </w:p>
    <w:p w:rsidR="008E0C52" w:rsidRDefault="008E0C52" w:rsidP="006F35E5">
      <w:pPr>
        <w:pStyle w:val="ListParagraph"/>
        <w:numPr>
          <w:ilvl w:val="0"/>
          <w:numId w:val="2"/>
        </w:numPr>
      </w:pPr>
      <w:r w:rsidRPr="00045CC6">
        <w:rPr>
          <w:u w:val="single"/>
        </w:rPr>
        <w:t>Borrower Segment</w:t>
      </w:r>
      <w:r w:rsidR="00B354CC">
        <w:t xml:space="preserve">: </w:t>
      </w:r>
      <w:r w:rsidR="00D27FED">
        <w:t xml:space="preserve">Borrower characteristics, such as </w:t>
      </w:r>
      <w:r w:rsidR="00B354CC">
        <w:t>degree</w:t>
      </w:r>
      <w:r w:rsidR="00D27FED">
        <w:t xml:space="preserve"> type</w:t>
      </w:r>
      <w:r w:rsidR="00B354CC">
        <w:t>, in-school, FICO, DTI, income,</w:t>
      </w:r>
      <w:r w:rsidR="00D27FED">
        <w:t xml:space="preserve"> </w:t>
      </w:r>
      <w:r w:rsidR="00B354CC">
        <w:t>occupation etc.</w:t>
      </w:r>
      <w:r w:rsidR="00D27FED">
        <w:t xml:space="preserve"> may influence the forecasts. Participants may want to develop predictions for each borrower segment and combine to develop aggregate forecasts.</w:t>
      </w:r>
    </w:p>
    <w:p w:rsidR="008E0C52" w:rsidRDefault="008E0C52" w:rsidP="006F35E5">
      <w:pPr>
        <w:pStyle w:val="ListParagraph"/>
        <w:numPr>
          <w:ilvl w:val="0"/>
          <w:numId w:val="2"/>
        </w:numPr>
      </w:pPr>
      <w:r w:rsidRPr="00045CC6">
        <w:rPr>
          <w:u w:val="single"/>
        </w:rPr>
        <w:t>Marketing DM &amp; EM Campaigns</w:t>
      </w:r>
      <w:r w:rsidR="00D27FED">
        <w:t>: Marketing campaigns have significant impact on application and funded loan volumes. The dataset included as part of the competition tags the organic apps and those generated due to a Marketing campaign using logic developed by Rachel Young.</w:t>
      </w:r>
    </w:p>
    <w:p w:rsidR="008E0C52" w:rsidRDefault="008E0C52" w:rsidP="008E0C52">
      <w:pPr>
        <w:pStyle w:val="ListParagraph"/>
        <w:numPr>
          <w:ilvl w:val="1"/>
          <w:numId w:val="2"/>
        </w:numPr>
      </w:pPr>
      <w:r w:rsidRPr="000835C2">
        <w:rPr>
          <w:u w:val="single"/>
        </w:rPr>
        <w:t>Prospect Marketing</w:t>
      </w:r>
      <w:r w:rsidR="00D6257A">
        <w:t xml:space="preserve">: Laurel Road Marketing team executes 7-8 </w:t>
      </w:r>
      <w:r w:rsidR="000835C2">
        <w:t xml:space="preserve">DM </w:t>
      </w:r>
      <w:r w:rsidR="00D6257A">
        <w:t xml:space="preserve">campaigns </w:t>
      </w:r>
      <w:r w:rsidR="000835C2">
        <w:t xml:space="preserve">annually targeting approx. 1MM prospects in each campaign. The campaigns response rates </w:t>
      </w:r>
      <w:r w:rsidR="001A0DA6">
        <w:t>are</w:t>
      </w:r>
      <w:r w:rsidR="000835C2">
        <w:t xml:space="preserve"> ~0.35% resulting in 3,500 apps and ~500 closed loans. 2019 DM calendar is included for reference</w:t>
      </w:r>
    </w:p>
    <w:p w:rsidR="008E0C52" w:rsidRDefault="008E0C52" w:rsidP="008E0C52">
      <w:pPr>
        <w:pStyle w:val="ListParagraph"/>
        <w:numPr>
          <w:ilvl w:val="1"/>
          <w:numId w:val="2"/>
        </w:numPr>
      </w:pPr>
      <w:r w:rsidRPr="00781A29">
        <w:rPr>
          <w:u w:val="single"/>
        </w:rPr>
        <w:t>Affinity Marketing</w:t>
      </w:r>
      <w:r w:rsidR="00787140">
        <w:t xml:space="preserve">: </w:t>
      </w:r>
      <w:r w:rsidR="00781A29">
        <w:t>Laurel Road partners, such as AMA, ADA, EMRA etc., share their member list that is leveraged by the Marketing team for several DM campaigns. List of campaigns included in attached PDF document</w:t>
      </w:r>
    </w:p>
    <w:p w:rsidR="008E0C52" w:rsidRDefault="008E0C52" w:rsidP="008E0C52">
      <w:pPr>
        <w:pStyle w:val="ListParagraph"/>
        <w:numPr>
          <w:ilvl w:val="1"/>
          <w:numId w:val="2"/>
        </w:numPr>
      </w:pPr>
      <w:r w:rsidRPr="00D27FED">
        <w:rPr>
          <w:u w:val="single"/>
        </w:rPr>
        <w:t>Withdrawn EM</w:t>
      </w:r>
      <w:r w:rsidR="00781A29">
        <w:t xml:space="preserve">: Marketing team executes monthly EM campaign targeting customers who withdrew their applications. </w:t>
      </w:r>
      <w:r w:rsidR="00B56C2F">
        <w:t>Campaign targets ~4,000 withdrawn applicants each month</w:t>
      </w:r>
      <w:r w:rsidR="004248B8">
        <w:t xml:space="preserve"> with ~28% open rate and ~1.5% click rate</w:t>
      </w:r>
    </w:p>
    <w:p w:rsidR="008E0C52" w:rsidRDefault="004248B8" w:rsidP="008E0C52">
      <w:pPr>
        <w:pStyle w:val="ListParagraph"/>
        <w:numPr>
          <w:ilvl w:val="1"/>
          <w:numId w:val="2"/>
        </w:numPr>
      </w:pPr>
      <w:r w:rsidRPr="004248B8">
        <w:rPr>
          <w:u w:val="single"/>
        </w:rPr>
        <w:t>O</w:t>
      </w:r>
      <w:r w:rsidR="008E0C52" w:rsidRPr="004248B8">
        <w:rPr>
          <w:u w:val="single"/>
        </w:rPr>
        <w:t>ther</w:t>
      </w:r>
      <w:r w:rsidRPr="004248B8">
        <w:rPr>
          <w:u w:val="single"/>
        </w:rPr>
        <w:t xml:space="preserve"> DM/EM</w:t>
      </w:r>
      <w:r>
        <w:t xml:space="preserve">: </w:t>
      </w:r>
      <w:r w:rsidR="004B7695">
        <w:t>Refer a Friend</w:t>
      </w:r>
      <w:r w:rsidR="00B82629">
        <w:t xml:space="preserve"> and other DM/EM campaigns executed by Marketing also have an impact on application volume</w:t>
      </w:r>
    </w:p>
    <w:p w:rsidR="008E0C52" w:rsidRDefault="008E0C52" w:rsidP="006F35E5">
      <w:pPr>
        <w:pStyle w:val="ListParagraph"/>
        <w:numPr>
          <w:ilvl w:val="0"/>
          <w:numId w:val="2"/>
        </w:numPr>
      </w:pPr>
      <w:r w:rsidRPr="00781A29">
        <w:rPr>
          <w:u w:val="single"/>
        </w:rPr>
        <w:t xml:space="preserve">Digital Marketing </w:t>
      </w:r>
      <w:r w:rsidR="00B354CC" w:rsidRPr="00781A29">
        <w:rPr>
          <w:u w:val="single"/>
        </w:rPr>
        <w:t xml:space="preserve">Awareness </w:t>
      </w:r>
      <w:r w:rsidRPr="00781A29">
        <w:rPr>
          <w:u w:val="single"/>
        </w:rPr>
        <w:t>Campaigns</w:t>
      </w:r>
      <w:r w:rsidR="00781A29">
        <w:t xml:space="preserve">: LR Marketing team executed comprehensive digital marketing campaigns, including Search Engine, Banner Ads, Social Media, that drive potential customers to our site. Marketing </w:t>
      </w:r>
      <w:r w:rsidR="00917B16">
        <w:t>team generates daily report to show impact of digital campaigns on app volume</w:t>
      </w:r>
      <w:r w:rsidR="00CC62B5">
        <w:t xml:space="preserve"> (see chart of Apr – Sep 2019 funded $ below)</w:t>
      </w:r>
    </w:p>
    <w:p w:rsidR="00AD04F5" w:rsidRDefault="00AD04F5" w:rsidP="00AD04F5">
      <w:pPr>
        <w:ind w:left="360"/>
      </w:pPr>
      <w:r>
        <w:rPr>
          <w:noProof/>
        </w:rPr>
        <w:lastRenderedPageBreak/>
        <w:drawing>
          <wp:inline distT="0" distB="0" distL="0" distR="0" wp14:anchorId="2FE120AD">
            <wp:extent cx="6041509" cy="31229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8777" cy="3126687"/>
                    </a:xfrm>
                    <a:prstGeom prst="rect">
                      <a:avLst/>
                    </a:prstGeom>
                    <a:noFill/>
                  </pic:spPr>
                </pic:pic>
              </a:graphicData>
            </a:graphic>
          </wp:inline>
        </w:drawing>
      </w:r>
    </w:p>
    <w:p w:rsidR="00D96CE3" w:rsidRDefault="00D96CE3" w:rsidP="00AD04F5">
      <w:pPr>
        <w:ind w:left="360"/>
      </w:pPr>
    </w:p>
    <w:p w:rsidR="003809EF" w:rsidRDefault="003809EF" w:rsidP="00AD04F5">
      <w:pPr>
        <w:ind w:left="360"/>
        <w:rPr>
          <w:u w:val="single"/>
        </w:rPr>
      </w:pPr>
      <w:r>
        <w:rPr>
          <w:u w:val="single"/>
        </w:rPr>
        <w:t>Competition Rules:</w:t>
      </w:r>
    </w:p>
    <w:p w:rsidR="003809EF" w:rsidRDefault="003809EF" w:rsidP="003809EF">
      <w:pPr>
        <w:pStyle w:val="ListParagraph"/>
        <w:numPr>
          <w:ilvl w:val="0"/>
          <w:numId w:val="5"/>
        </w:numPr>
      </w:pPr>
      <w:r>
        <w:t xml:space="preserve">Create forecast for Student Loan application count, application $, funded loan and funded $ for Jul ’19 – </w:t>
      </w:r>
      <w:r w:rsidR="001A0DA6">
        <w:t>Dec</w:t>
      </w:r>
      <w:r>
        <w:t xml:space="preserve"> ’19 using Jan ’16 – Jun ’19 data as training sample</w:t>
      </w:r>
    </w:p>
    <w:p w:rsidR="003809EF" w:rsidRDefault="003809EF" w:rsidP="003809EF">
      <w:pPr>
        <w:pStyle w:val="ListParagraph"/>
        <w:numPr>
          <w:ilvl w:val="0"/>
          <w:numId w:val="5"/>
        </w:numPr>
      </w:pPr>
      <w:r>
        <w:t xml:space="preserve">Generate separate forecasts for </w:t>
      </w:r>
      <w:proofErr w:type="spellStart"/>
      <w:r>
        <w:t>Refis</w:t>
      </w:r>
      <w:proofErr w:type="spellEnd"/>
      <w:r>
        <w:t xml:space="preserve"> and In-School loans</w:t>
      </w:r>
    </w:p>
    <w:p w:rsidR="003809EF" w:rsidRDefault="003809EF" w:rsidP="003809EF">
      <w:pPr>
        <w:pStyle w:val="ListParagraph"/>
        <w:numPr>
          <w:ilvl w:val="0"/>
          <w:numId w:val="5"/>
        </w:numPr>
      </w:pPr>
      <w:r>
        <w:t>Teams can use any of the data provided as part of this competition and incorporate additional attributes from internal or external sources</w:t>
      </w:r>
    </w:p>
    <w:p w:rsidR="003809EF" w:rsidRPr="00CA1550" w:rsidRDefault="003809EF" w:rsidP="003809EF">
      <w:pPr>
        <w:pStyle w:val="ListParagraph"/>
        <w:numPr>
          <w:ilvl w:val="0"/>
          <w:numId w:val="5"/>
        </w:numPr>
        <w:rPr>
          <w:b/>
        </w:rPr>
      </w:pPr>
      <w:r w:rsidRPr="00CA1550">
        <w:rPr>
          <w:b/>
        </w:rPr>
        <w:t xml:space="preserve">Forecast for Jul ’19 – </w:t>
      </w:r>
      <w:r w:rsidR="001A0DA6" w:rsidRPr="00CA1550">
        <w:rPr>
          <w:b/>
        </w:rPr>
        <w:t>Dec</w:t>
      </w:r>
      <w:r w:rsidRPr="00CA1550">
        <w:rPr>
          <w:b/>
        </w:rPr>
        <w:t xml:space="preserve"> ’19 should be based upon information that is known as of Jun 30, 2019. For example, knowledge of upcoming Marketing campaigns or digital spend can be incorporated but the actual LIBOR rates from Jul – </w:t>
      </w:r>
      <w:r w:rsidR="001A0DA6" w:rsidRPr="00CA1550">
        <w:rPr>
          <w:b/>
        </w:rPr>
        <w:t>Dec</w:t>
      </w:r>
      <w:r w:rsidRPr="00CA1550">
        <w:rPr>
          <w:b/>
        </w:rPr>
        <w:t xml:space="preserve"> ’19 should not be used</w:t>
      </w:r>
    </w:p>
    <w:p w:rsidR="003809EF" w:rsidRDefault="003809EF" w:rsidP="003809EF">
      <w:pPr>
        <w:pStyle w:val="ListParagraph"/>
        <w:numPr>
          <w:ilvl w:val="0"/>
          <w:numId w:val="5"/>
        </w:numPr>
      </w:pPr>
      <w:bookmarkStart w:id="0" w:name="_GoBack"/>
      <w:bookmarkEnd w:id="0"/>
      <w:r>
        <w:t xml:space="preserve">Total funded volume (Refi + In-School) by month from Jul – </w:t>
      </w:r>
      <w:r w:rsidR="001A0DA6">
        <w:t>Nov</w:t>
      </w:r>
      <w:r>
        <w:t xml:space="preserve"> ’19 will be the primary measure to determine effectiveness of model. RMSE% described above will be used to determine the winning team</w:t>
      </w:r>
    </w:p>
    <w:p w:rsidR="003809EF" w:rsidRPr="003809EF" w:rsidRDefault="00A02A62" w:rsidP="003809EF">
      <w:pPr>
        <w:pStyle w:val="ListParagraph"/>
        <w:numPr>
          <w:ilvl w:val="0"/>
          <w:numId w:val="5"/>
        </w:numPr>
      </w:pPr>
      <w:r>
        <w:t>Winning team</w:t>
      </w:r>
      <w:r w:rsidR="00393D20">
        <w:t xml:space="preserve"> earns prize money</w:t>
      </w:r>
      <w:r w:rsidR="003809EF">
        <w:t xml:space="preserve"> &amp; bragging rights</w:t>
      </w:r>
      <w:r w:rsidR="00C23A3B">
        <w:t>!</w:t>
      </w:r>
    </w:p>
    <w:p w:rsidR="00D96CE3" w:rsidRDefault="00D96CE3" w:rsidP="00AD04F5">
      <w:pPr>
        <w:ind w:left="360"/>
      </w:pPr>
      <w:r w:rsidRPr="00A42FDD">
        <w:rPr>
          <w:u w:val="single"/>
        </w:rPr>
        <w:t>Datasets</w:t>
      </w:r>
      <w:r>
        <w:t>:</w:t>
      </w:r>
    </w:p>
    <w:p w:rsidR="00D96CE3" w:rsidRDefault="00B9270E" w:rsidP="00A42FDD">
      <w:pPr>
        <w:pStyle w:val="ListParagraph"/>
        <w:numPr>
          <w:ilvl w:val="0"/>
          <w:numId w:val="3"/>
        </w:numPr>
      </w:pPr>
      <w:r>
        <w:t>Application and funded loan volume at the daily level is included in the folder below along with several internal and macro attributes</w:t>
      </w:r>
      <w:r w:rsidR="00A42FDD">
        <w:t xml:space="preserve">: </w:t>
      </w:r>
    </w:p>
    <w:p w:rsidR="00A42FDD" w:rsidRDefault="00A42FDD" w:rsidP="00A42FDD">
      <w:pPr>
        <w:ind w:left="1440"/>
      </w:pPr>
      <w:r w:rsidRPr="00A42FDD">
        <w:t xml:space="preserve">Path: </w:t>
      </w:r>
      <w:r w:rsidR="00D458A1" w:rsidRPr="00D458A1">
        <w:t>\\52.45.41.128\SASShare\ANarayan\Forecast Case Study</w:t>
      </w:r>
    </w:p>
    <w:p w:rsidR="00D458A1" w:rsidRDefault="00D458A1" w:rsidP="00D458A1">
      <w:pPr>
        <w:pStyle w:val="ListParagraph"/>
        <w:numPr>
          <w:ilvl w:val="0"/>
          <w:numId w:val="3"/>
        </w:numPr>
      </w:pPr>
      <w:r>
        <w:t>Files in the folder include:</w:t>
      </w:r>
    </w:p>
    <w:p w:rsidR="00D458A1" w:rsidRDefault="00E9319F" w:rsidP="00D458A1">
      <w:pPr>
        <w:pStyle w:val="ListParagraph"/>
        <w:numPr>
          <w:ilvl w:val="1"/>
          <w:numId w:val="3"/>
        </w:numPr>
      </w:pPr>
      <w:r w:rsidRPr="00E9319F">
        <w:rPr>
          <w:u w:val="single"/>
        </w:rPr>
        <w:t>SL</w:t>
      </w:r>
      <w:r w:rsidR="00D458A1" w:rsidRPr="00E9319F">
        <w:rPr>
          <w:u w:val="single"/>
        </w:rPr>
        <w:t xml:space="preserve"> -</w:t>
      </w:r>
      <w:r w:rsidR="00D458A1" w:rsidRPr="00A570AE">
        <w:rPr>
          <w:u w:val="single"/>
        </w:rPr>
        <w:t xml:space="preserve"> refi &amp; </w:t>
      </w:r>
      <w:proofErr w:type="spellStart"/>
      <w:r w:rsidR="00D458A1" w:rsidRPr="00A570AE">
        <w:rPr>
          <w:u w:val="single"/>
        </w:rPr>
        <w:t>inschool</w:t>
      </w:r>
      <w:proofErr w:type="spellEnd"/>
      <w:r w:rsidR="00D458A1">
        <w:t xml:space="preserve">: Excel workbook with </w:t>
      </w:r>
      <w:r>
        <w:t>application and</w:t>
      </w:r>
      <w:r w:rsidR="00D458A1">
        <w:t xml:space="preserve"> funded loan data for Refinances and in-school loans from Jan 1, 2016 onward</w:t>
      </w:r>
    </w:p>
    <w:p w:rsidR="00A570AE" w:rsidRDefault="00A570AE" w:rsidP="00D458A1">
      <w:pPr>
        <w:pStyle w:val="ListParagraph"/>
        <w:numPr>
          <w:ilvl w:val="1"/>
          <w:numId w:val="3"/>
        </w:numPr>
      </w:pPr>
      <w:r w:rsidRPr="00A570AE">
        <w:rPr>
          <w:u w:val="single"/>
        </w:rPr>
        <w:lastRenderedPageBreak/>
        <w:t>Funding Forecast Variables – Marketing</w:t>
      </w:r>
      <w:r>
        <w:t xml:space="preserve">: Excel workbook created by Marketing team with weekly data on LR rates, </w:t>
      </w:r>
      <w:proofErr w:type="spellStart"/>
      <w:r>
        <w:t>SoFi</w:t>
      </w:r>
      <w:proofErr w:type="spellEnd"/>
      <w:r>
        <w:t xml:space="preserve"> rates, Digital Media spend, DM, EM campaigns etc.</w:t>
      </w:r>
    </w:p>
    <w:p w:rsidR="00A570AE" w:rsidRDefault="00A570AE" w:rsidP="00D458A1">
      <w:pPr>
        <w:pStyle w:val="ListParagraph"/>
        <w:numPr>
          <w:ilvl w:val="1"/>
          <w:numId w:val="3"/>
        </w:numPr>
      </w:pPr>
      <w:r w:rsidRPr="003260F2">
        <w:rPr>
          <w:u w:val="single"/>
        </w:rPr>
        <w:t>LIBOR</w:t>
      </w:r>
      <w:r>
        <w:t>: Excel file with LIBOR-3M daily rates</w:t>
      </w:r>
    </w:p>
    <w:p w:rsidR="00A570AE" w:rsidRDefault="00A570AE" w:rsidP="00D458A1">
      <w:pPr>
        <w:pStyle w:val="ListParagraph"/>
        <w:numPr>
          <w:ilvl w:val="1"/>
          <w:numId w:val="3"/>
        </w:numPr>
      </w:pPr>
      <w:r w:rsidRPr="003260F2">
        <w:rPr>
          <w:u w:val="single"/>
        </w:rPr>
        <w:t>Unemployment Rate</w:t>
      </w:r>
      <w:r>
        <w:t>: Monthly unemployment rate data</w:t>
      </w:r>
    </w:p>
    <w:p w:rsidR="00A570AE" w:rsidRDefault="00A570AE" w:rsidP="00D458A1">
      <w:pPr>
        <w:pStyle w:val="ListParagraph"/>
        <w:numPr>
          <w:ilvl w:val="1"/>
          <w:numId w:val="3"/>
        </w:numPr>
      </w:pPr>
      <w:r w:rsidRPr="003260F2">
        <w:rPr>
          <w:u w:val="single"/>
        </w:rPr>
        <w:t>CPILFESL</w:t>
      </w:r>
      <w:r>
        <w:t xml:space="preserve">: Monthly </w:t>
      </w:r>
      <w:r w:rsidRPr="00A570AE">
        <w:t>Consumer Price Index for All Urban Consumers</w:t>
      </w:r>
      <w:r w:rsidR="003260F2">
        <w:t>. A</w:t>
      </w:r>
      <w:r w:rsidRPr="00A570AE">
        <w:t>ll Items Less Food and Energy, Index 1982-1984=100, Monthly, Seasonally Adjusted</w:t>
      </w:r>
    </w:p>
    <w:p w:rsidR="003260F2" w:rsidRDefault="003260F2" w:rsidP="00D458A1">
      <w:pPr>
        <w:pStyle w:val="ListParagraph"/>
        <w:numPr>
          <w:ilvl w:val="1"/>
          <w:numId w:val="3"/>
        </w:numPr>
      </w:pPr>
      <w:r w:rsidRPr="003260F2">
        <w:rPr>
          <w:u w:val="single"/>
        </w:rPr>
        <w:t>Treasury</w:t>
      </w:r>
      <w:r>
        <w:t>: Daily US Treasury Yield Curve data</w:t>
      </w:r>
    </w:p>
    <w:p w:rsidR="00DA6772" w:rsidRDefault="00DA6772" w:rsidP="00DA6772">
      <w:pPr>
        <w:ind w:left="360"/>
      </w:pPr>
    </w:p>
    <w:p w:rsidR="001141F4" w:rsidRDefault="00DA6772" w:rsidP="00DA6772">
      <w:pPr>
        <w:ind w:left="360"/>
      </w:pPr>
      <w:r w:rsidRPr="00DA6772">
        <w:rPr>
          <w:u w:val="single"/>
        </w:rPr>
        <w:t>Recommended Reading</w:t>
      </w:r>
      <w:r>
        <w:t>:</w:t>
      </w:r>
    </w:p>
    <w:p w:rsidR="00DA6772" w:rsidRDefault="00CA1D15" w:rsidP="00DA6772">
      <w:pPr>
        <w:pStyle w:val="ListParagraph"/>
        <w:numPr>
          <w:ilvl w:val="0"/>
          <w:numId w:val="4"/>
        </w:numPr>
      </w:pPr>
      <w:hyperlink r:id="rId11" w:history="1">
        <w:r w:rsidR="00DA6772">
          <w:rPr>
            <w:rStyle w:val="Hyperlink"/>
          </w:rPr>
          <w:t>https://www.analyticsvidhya.com/blog/2018/08/auto-arima-time-series-modeling-python-r/</w:t>
        </w:r>
      </w:hyperlink>
    </w:p>
    <w:p w:rsidR="00DA6772" w:rsidRPr="00B9270E" w:rsidRDefault="00CA1D15" w:rsidP="00DA6772">
      <w:pPr>
        <w:pStyle w:val="ListParagraph"/>
        <w:numPr>
          <w:ilvl w:val="0"/>
          <w:numId w:val="4"/>
        </w:numPr>
        <w:rPr>
          <w:rStyle w:val="Hyperlink"/>
          <w:color w:val="auto"/>
          <w:u w:val="none"/>
        </w:rPr>
      </w:pPr>
      <w:hyperlink r:id="rId12" w:history="1">
        <w:r w:rsidR="00DA6772">
          <w:rPr>
            <w:rStyle w:val="Hyperlink"/>
          </w:rPr>
          <w:t>https://www.analyticsvidhya.com/blog/2016/02/time-series-forecasting-codes-python/</w:t>
        </w:r>
      </w:hyperlink>
    </w:p>
    <w:p w:rsidR="00B9270E" w:rsidRDefault="00CA1D15" w:rsidP="00DA6772">
      <w:pPr>
        <w:pStyle w:val="ListParagraph"/>
        <w:numPr>
          <w:ilvl w:val="0"/>
          <w:numId w:val="4"/>
        </w:numPr>
      </w:pPr>
      <w:hyperlink r:id="rId13" w:history="1">
        <w:r w:rsidR="00B9270E">
          <w:rPr>
            <w:rStyle w:val="Hyperlink"/>
          </w:rPr>
          <w:t>https://otexts.com/fpp2/intro.html</w:t>
        </w:r>
      </w:hyperlink>
    </w:p>
    <w:sectPr w:rsidR="00B92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4032C"/>
    <w:multiLevelType w:val="hybridMultilevel"/>
    <w:tmpl w:val="960236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63065B"/>
    <w:multiLevelType w:val="hybridMultilevel"/>
    <w:tmpl w:val="0ADAC166"/>
    <w:lvl w:ilvl="0" w:tplc="6A6632F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D70F61"/>
    <w:multiLevelType w:val="hybridMultilevel"/>
    <w:tmpl w:val="42D8CD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3B6CED"/>
    <w:multiLevelType w:val="hybridMultilevel"/>
    <w:tmpl w:val="16E471A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A804517"/>
    <w:multiLevelType w:val="hybridMultilevel"/>
    <w:tmpl w:val="9FB8D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1D9"/>
    <w:rsid w:val="00000068"/>
    <w:rsid w:val="00045CC6"/>
    <w:rsid w:val="000560FB"/>
    <w:rsid w:val="000835C2"/>
    <w:rsid w:val="000B31CD"/>
    <w:rsid w:val="00102057"/>
    <w:rsid w:val="001141F4"/>
    <w:rsid w:val="00163F83"/>
    <w:rsid w:val="001A0DA6"/>
    <w:rsid w:val="001E1C08"/>
    <w:rsid w:val="0027567B"/>
    <w:rsid w:val="002E45C6"/>
    <w:rsid w:val="00301B57"/>
    <w:rsid w:val="003260F2"/>
    <w:rsid w:val="003809EF"/>
    <w:rsid w:val="00393D20"/>
    <w:rsid w:val="004248B8"/>
    <w:rsid w:val="00477ED1"/>
    <w:rsid w:val="004B7695"/>
    <w:rsid w:val="00520E52"/>
    <w:rsid w:val="0059440C"/>
    <w:rsid w:val="005960C7"/>
    <w:rsid w:val="005C4948"/>
    <w:rsid w:val="005F084B"/>
    <w:rsid w:val="006F35E5"/>
    <w:rsid w:val="007375DD"/>
    <w:rsid w:val="00781A29"/>
    <w:rsid w:val="00787140"/>
    <w:rsid w:val="0081225D"/>
    <w:rsid w:val="008161D9"/>
    <w:rsid w:val="00826290"/>
    <w:rsid w:val="0082770E"/>
    <w:rsid w:val="008D51F0"/>
    <w:rsid w:val="008E0C52"/>
    <w:rsid w:val="00905095"/>
    <w:rsid w:val="00905AA8"/>
    <w:rsid w:val="00916E2C"/>
    <w:rsid w:val="00917B16"/>
    <w:rsid w:val="00955E46"/>
    <w:rsid w:val="009B1D44"/>
    <w:rsid w:val="00A010D6"/>
    <w:rsid w:val="00A02A62"/>
    <w:rsid w:val="00A376E8"/>
    <w:rsid w:val="00A42BE1"/>
    <w:rsid w:val="00A42FDD"/>
    <w:rsid w:val="00A570AE"/>
    <w:rsid w:val="00AD04F5"/>
    <w:rsid w:val="00AD4490"/>
    <w:rsid w:val="00B135DE"/>
    <w:rsid w:val="00B354CC"/>
    <w:rsid w:val="00B56C2F"/>
    <w:rsid w:val="00B82629"/>
    <w:rsid w:val="00B9270E"/>
    <w:rsid w:val="00C23A3B"/>
    <w:rsid w:val="00C42825"/>
    <w:rsid w:val="00CA1550"/>
    <w:rsid w:val="00CA1D15"/>
    <w:rsid w:val="00CA41FD"/>
    <w:rsid w:val="00CC62B5"/>
    <w:rsid w:val="00D27FED"/>
    <w:rsid w:val="00D458A1"/>
    <w:rsid w:val="00D6257A"/>
    <w:rsid w:val="00D96CE3"/>
    <w:rsid w:val="00DA6772"/>
    <w:rsid w:val="00E45F90"/>
    <w:rsid w:val="00E9319F"/>
    <w:rsid w:val="00ED0522"/>
    <w:rsid w:val="00EE7D95"/>
    <w:rsid w:val="00EF3E46"/>
    <w:rsid w:val="00F56192"/>
    <w:rsid w:val="00FA1502"/>
    <w:rsid w:val="00FD5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84F2C"/>
  <w15:chartTrackingRefBased/>
  <w15:docId w15:val="{2A5E4535-2425-42FA-9906-4EDBF7CEA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1D9"/>
    <w:pPr>
      <w:ind w:left="720"/>
      <w:contextualSpacing/>
    </w:pPr>
  </w:style>
  <w:style w:type="character" w:styleId="Hyperlink">
    <w:name w:val="Hyperlink"/>
    <w:basedOn w:val="DefaultParagraphFont"/>
    <w:uiPriority w:val="99"/>
    <w:unhideWhenUsed/>
    <w:rsid w:val="00A42FDD"/>
    <w:rPr>
      <w:color w:val="0563C1" w:themeColor="hyperlink"/>
      <w:u w:val="single"/>
    </w:rPr>
  </w:style>
  <w:style w:type="character" w:styleId="UnresolvedMention">
    <w:name w:val="Unresolved Mention"/>
    <w:basedOn w:val="DefaultParagraphFont"/>
    <w:uiPriority w:val="99"/>
    <w:semiHidden/>
    <w:unhideWhenUsed/>
    <w:rsid w:val="00A42FDD"/>
    <w:rPr>
      <w:color w:val="605E5C"/>
      <w:shd w:val="clear" w:color="auto" w:fill="E1DFDD"/>
    </w:rPr>
  </w:style>
  <w:style w:type="character" w:styleId="FollowedHyperlink">
    <w:name w:val="FollowedHyperlink"/>
    <w:basedOn w:val="DefaultParagraphFont"/>
    <w:uiPriority w:val="99"/>
    <w:semiHidden/>
    <w:unhideWhenUsed/>
    <w:rsid w:val="00A02A62"/>
    <w:rPr>
      <w:color w:val="954F72" w:themeColor="followedHyperlink"/>
      <w:u w:val="single"/>
    </w:rPr>
  </w:style>
  <w:style w:type="paragraph" w:styleId="BalloonText">
    <w:name w:val="Balloon Text"/>
    <w:basedOn w:val="Normal"/>
    <w:link w:val="BalloonTextChar"/>
    <w:uiPriority w:val="99"/>
    <w:semiHidden/>
    <w:unhideWhenUsed/>
    <w:rsid w:val="000000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0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18111">
      <w:bodyDiv w:val="1"/>
      <w:marLeft w:val="0"/>
      <w:marRight w:val="0"/>
      <w:marTop w:val="0"/>
      <w:marBottom w:val="0"/>
      <w:divBdr>
        <w:top w:val="none" w:sz="0" w:space="0" w:color="auto"/>
        <w:left w:val="none" w:sz="0" w:space="0" w:color="auto"/>
        <w:bottom w:val="none" w:sz="0" w:space="0" w:color="auto"/>
        <w:right w:val="none" w:sz="0" w:space="0" w:color="auto"/>
      </w:divBdr>
    </w:div>
    <w:div w:id="201787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s://otexts.com/fpp2/intro.html" TargetMode="Externa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s://www.analyticsvidhya.com/blog/2016/02/time-series-forecasting-codes-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nalyticsvidhya.com/blog/2018/08/auto-arima-time-series-modeling-python-r/"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App Vol ($MM)</c:v>
                </c:pt>
              </c:strCache>
            </c:strRef>
          </c:tx>
          <c:spPr>
            <a:solidFill>
              <a:schemeClr val="tx2">
                <a:alpha val="50000"/>
              </a:schemeClr>
            </a:solidFill>
            <a:ln>
              <a:noFill/>
            </a:ln>
            <a:effectLst/>
          </c:spPr>
          <c:invertIfNegative val="0"/>
          <c:dPt>
            <c:idx val="5"/>
            <c:invertIfNegative val="0"/>
            <c:bubble3D val="0"/>
            <c:spPr>
              <a:solidFill>
                <a:schemeClr val="tx2"/>
              </a:solidFill>
              <a:ln>
                <a:noFill/>
              </a:ln>
              <a:effectLst/>
            </c:spPr>
            <c:extLst>
              <c:ext xmlns:c16="http://schemas.microsoft.com/office/drawing/2014/chart" uri="{C3380CC4-5D6E-409C-BE32-E72D297353CC}">
                <c16:uniqueId val="{00000001-D2D5-4A15-BFEF-1EA69D765808}"/>
              </c:ext>
            </c:extLst>
          </c:dPt>
          <c:dPt>
            <c:idx val="17"/>
            <c:invertIfNegative val="0"/>
            <c:bubble3D val="0"/>
            <c:spPr>
              <a:solidFill>
                <a:schemeClr val="tx2"/>
              </a:solidFill>
              <a:ln>
                <a:noFill/>
              </a:ln>
              <a:effectLst/>
            </c:spPr>
            <c:extLst>
              <c:ext xmlns:c16="http://schemas.microsoft.com/office/drawing/2014/chart" uri="{C3380CC4-5D6E-409C-BE32-E72D297353CC}">
                <c16:uniqueId val="{00000003-D2D5-4A15-BFEF-1EA69D765808}"/>
              </c:ext>
            </c:extLst>
          </c:dPt>
          <c:dLbls>
            <c:spPr>
              <a:noFill/>
              <a:ln>
                <a:noFill/>
              </a:ln>
              <a:effectLst/>
            </c:spPr>
            <c:txPr>
              <a:bodyPr rot="0" spcFirstLastPara="1" vertOverflow="ellipsis" vert="horz" wrap="square" lIns="38100" tIns="19050" rIns="38100" bIns="19050" anchor="ctr" anchorCtr="0">
                <a:spAutoFit/>
              </a:bodyPr>
              <a:lstStyle/>
              <a:p>
                <a:pPr algn="ctr">
                  <a:defRPr lang="en-US" sz="900" b="1" i="0" u="none" strike="noStrike" kern="1200" baseline="0">
                    <a:solidFill>
                      <a:schemeClr val="bg1"/>
                    </a:solidFill>
                    <a:latin typeface="Circular Pro"/>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Sheet1!$B$1:$S$1</c:f>
              <c:strCache>
                <c:ptCount val="18"/>
                <c:pt idx="0">
                  <c:v>Apr-18</c:v>
                </c:pt>
                <c:pt idx="1">
                  <c:v>May-18</c:v>
                </c:pt>
                <c:pt idx="2">
                  <c:v>Jun-18</c:v>
                </c:pt>
                <c:pt idx="3">
                  <c:v>Jul-18</c:v>
                </c:pt>
                <c:pt idx="4">
                  <c:v>Aug-18</c:v>
                </c:pt>
                <c:pt idx="5">
                  <c:v>Sep-18</c:v>
                </c:pt>
                <c:pt idx="6">
                  <c:v>Oct-18</c:v>
                </c:pt>
                <c:pt idx="7">
                  <c:v>Nov-18</c:v>
                </c:pt>
                <c:pt idx="8">
                  <c:v>Dec-18</c:v>
                </c:pt>
                <c:pt idx="9">
                  <c:v>Jan-19</c:v>
                </c:pt>
                <c:pt idx="10">
                  <c:v>Feb-19</c:v>
                </c:pt>
                <c:pt idx="11">
                  <c:v>Mar-19</c:v>
                </c:pt>
                <c:pt idx="12">
                  <c:v>Apr-19</c:v>
                </c:pt>
                <c:pt idx="13">
                  <c:v>May-19</c:v>
                </c:pt>
                <c:pt idx="14">
                  <c:v>Jun-19</c:v>
                </c:pt>
                <c:pt idx="15">
                  <c:v>Jul-19</c:v>
                </c:pt>
                <c:pt idx="16">
                  <c:v>Aug-19</c:v>
                </c:pt>
                <c:pt idx="17">
                  <c:v>Sep-19</c:v>
                </c:pt>
              </c:strCache>
            </c:strRef>
          </c:cat>
          <c:val>
            <c:numRef>
              <c:f>Sheet1!$B$2:$S$2</c:f>
              <c:numCache>
                <c:formatCode>0.0,,</c:formatCode>
                <c:ptCount val="18"/>
                <c:pt idx="0">
                  <c:v>686462547.54999828</c:v>
                </c:pt>
                <c:pt idx="1">
                  <c:v>626942626.75999975</c:v>
                </c:pt>
                <c:pt idx="2">
                  <c:v>739129107.43000066</c:v>
                </c:pt>
                <c:pt idx="3">
                  <c:v>782246151.33999979</c:v>
                </c:pt>
                <c:pt idx="4">
                  <c:v>815903883.62999988</c:v>
                </c:pt>
                <c:pt idx="5">
                  <c:v>722403637.24999821</c:v>
                </c:pt>
                <c:pt idx="6">
                  <c:v>807993922.48999941</c:v>
                </c:pt>
                <c:pt idx="7">
                  <c:v>669968847.55999959</c:v>
                </c:pt>
                <c:pt idx="8">
                  <c:v>494291564.69999921</c:v>
                </c:pt>
                <c:pt idx="9">
                  <c:v>730390340.48000014</c:v>
                </c:pt>
                <c:pt idx="10">
                  <c:v>627507747.2599988</c:v>
                </c:pt>
                <c:pt idx="11">
                  <c:v>688688914.63999927</c:v>
                </c:pt>
                <c:pt idx="12">
                  <c:v>769712100.86000001</c:v>
                </c:pt>
                <c:pt idx="13">
                  <c:v>802731789.43999994</c:v>
                </c:pt>
                <c:pt idx="14">
                  <c:v>920572029.44000077</c:v>
                </c:pt>
                <c:pt idx="15">
                  <c:v>963785449.75000036</c:v>
                </c:pt>
                <c:pt idx="16">
                  <c:v>1117465735.810003</c:v>
                </c:pt>
                <c:pt idx="17">
                  <c:v>1092747093.0800016</c:v>
                </c:pt>
              </c:numCache>
            </c:numRef>
          </c:val>
          <c:extLst>
            <c:ext xmlns:c16="http://schemas.microsoft.com/office/drawing/2014/chart" uri="{C3380CC4-5D6E-409C-BE32-E72D297353CC}">
              <c16:uniqueId val="{00000004-D2D5-4A15-BFEF-1EA69D765808}"/>
            </c:ext>
          </c:extLst>
        </c:ser>
        <c:dLbls>
          <c:showLegendKey val="0"/>
          <c:showVal val="0"/>
          <c:showCatName val="0"/>
          <c:showSerName val="0"/>
          <c:showPercent val="0"/>
          <c:showBubbleSize val="0"/>
        </c:dLbls>
        <c:gapWidth val="15"/>
        <c:axId val="837175656"/>
        <c:axId val="837176640"/>
      </c:barChart>
      <c:catAx>
        <c:axId val="837175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lgn="ctr">
              <a:defRPr lang="en-US" sz="900" b="1" i="0" u="none" strike="noStrike" kern="1200" baseline="0">
                <a:solidFill>
                  <a:schemeClr val="tx2"/>
                </a:solidFill>
                <a:latin typeface="Circular Pro"/>
                <a:ea typeface="+mn-ea"/>
                <a:cs typeface="+mn-cs"/>
              </a:defRPr>
            </a:pPr>
            <a:endParaRPr lang="en-US"/>
          </a:p>
        </c:txPr>
        <c:crossAx val="837176640"/>
        <c:crosses val="autoZero"/>
        <c:auto val="1"/>
        <c:lblAlgn val="ctr"/>
        <c:lblOffset val="100"/>
        <c:noMultiLvlLbl val="0"/>
      </c:catAx>
      <c:valAx>
        <c:axId val="837176640"/>
        <c:scaling>
          <c:orientation val="minMax"/>
        </c:scaling>
        <c:delete val="0"/>
        <c:axPos val="l"/>
        <c:majorGridlines>
          <c:spPr>
            <a:ln w="9525" cap="flat" cmpd="sng" algn="ctr">
              <a:no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lgn="ctr">
              <a:defRPr lang="en-US" sz="900" b="1" i="0" u="none" strike="noStrike" kern="1200" baseline="0">
                <a:solidFill>
                  <a:schemeClr val="tx2"/>
                </a:solidFill>
                <a:latin typeface="Circular Pro"/>
                <a:ea typeface="+mn-ea"/>
                <a:cs typeface="+mn-cs"/>
              </a:defRPr>
            </a:pPr>
            <a:endParaRPr lang="en-US"/>
          </a:p>
        </c:txPr>
        <c:crossAx val="837175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lgn="ctr">
            <a:defRPr lang="en-US" sz="900" b="1" i="0" u="none" strike="noStrike" kern="1200" baseline="0">
              <a:solidFill>
                <a:schemeClr val="tx2"/>
              </a:solidFill>
              <a:latin typeface="Circular Pro"/>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Closed Vol ($MM)</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Vol ($MM)</c:v>
                </c:pt>
              </c:strCache>
            </c:strRef>
          </c:tx>
          <c:spPr>
            <a:solidFill>
              <a:schemeClr val="tx2">
                <a:alpha val="50000"/>
              </a:schemeClr>
            </a:solidFill>
            <a:ln>
              <a:noFill/>
            </a:ln>
            <a:effectLst/>
          </c:spPr>
          <c:invertIfNegative val="0"/>
          <c:dPt>
            <c:idx val="5"/>
            <c:invertIfNegative val="0"/>
            <c:bubble3D val="0"/>
            <c:spPr>
              <a:solidFill>
                <a:schemeClr val="tx2"/>
              </a:solidFill>
              <a:ln>
                <a:noFill/>
              </a:ln>
              <a:effectLst/>
            </c:spPr>
            <c:extLst>
              <c:ext xmlns:c16="http://schemas.microsoft.com/office/drawing/2014/chart" uri="{C3380CC4-5D6E-409C-BE32-E72D297353CC}">
                <c16:uniqueId val="{00000001-5859-4F8B-8F36-65652C2B4CA7}"/>
              </c:ext>
            </c:extLst>
          </c:dPt>
          <c:dPt>
            <c:idx val="17"/>
            <c:invertIfNegative val="0"/>
            <c:bubble3D val="0"/>
            <c:spPr>
              <a:solidFill>
                <a:schemeClr val="tx2"/>
              </a:solidFill>
              <a:ln>
                <a:noFill/>
              </a:ln>
              <a:effectLst/>
            </c:spPr>
            <c:extLst>
              <c:ext xmlns:c16="http://schemas.microsoft.com/office/drawing/2014/chart" uri="{C3380CC4-5D6E-409C-BE32-E72D297353CC}">
                <c16:uniqueId val="{00000003-5859-4F8B-8F36-65652C2B4CA7}"/>
              </c:ext>
            </c:extLst>
          </c:dPt>
          <c:dLbls>
            <c:spPr>
              <a:noFill/>
              <a:ln>
                <a:noFill/>
              </a:ln>
              <a:effectLst/>
            </c:spPr>
            <c:txPr>
              <a:bodyPr rot="0" spcFirstLastPara="1" vertOverflow="ellipsis" vert="horz" wrap="square" lIns="38100" tIns="19050" rIns="38100" bIns="19050" anchor="ctr" anchorCtr="0">
                <a:spAutoFit/>
              </a:bodyPr>
              <a:lstStyle/>
              <a:p>
                <a:pPr algn="ctr">
                  <a:defRPr lang="en-US" sz="900" b="1" i="0" u="none" strike="noStrike" kern="1200" baseline="0">
                    <a:solidFill>
                      <a:schemeClr val="bg1"/>
                    </a:solidFill>
                    <a:latin typeface="Circular Pro"/>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Sheet1!$B$1:$S$1</c:f>
              <c:strCache>
                <c:ptCount val="18"/>
                <c:pt idx="0">
                  <c:v>Apr-18</c:v>
                </c:pt>
                <c:pt idx="1">
                  <c:v>May-18</c:v>
                </c:pt>
                <c:pt idx="2">
                  <c:v>Jun-18</c:v>
                </c:pt>
                <c:pt idx="3">
                  <c:v>Jul-18</c:v>
                </c:pt>
                <c:pt idx="4">
                  <c:v>Aug-18</c:v>
                </c:pt>
                <c:pt idx="5">
                  <c:v>Sep-18</c:v>
                </c:pt>
                <c:pt idx="6">
                  <c:v>Oct-18</c:v>
                </c:pt>
                <c:pt idx="7">
                  <c:v>Nov-18</c:v>
                </c:pt>
                <c:pt idx="8">
                  <c:v>Dec-18</c:v>
                </c:pt>
                <c:pt idx="9">
                  <c:v>Jan-19</c:v>
                </c:pt>
                <c:pt idx="10">
                  <c:v>Feb-19</c:v>
                </c:pt>
                <c:pt idx="11">
                  <c:v>Mar-19</c:v>
                </c:pt>
                <c:pt idx="12">
                  <c:v>Apr-19</c:v>
                </c:pt>
                <c:pt idx="13">
                  <c:v>May-19</c:v>
                </c:pt>
                <c:pt idx="14">
                  <c:v>Jun-19</c:v>
                </c:pt>
                <c:pt idx="15">
                  <c:v>Jul-19</c:v>
                </c:pt>
                <c:pt idx="16">
                  <c:v>Aug-19</c:v>
                </c:pt>
                <c:pt idx="17">
                  <c:v>Sep-19</c:v>
                </c:pt>
              </c:strCache>
            </c:strRef>
          </c:cat>
          <c:val>
            <c:numRef>
              <c:f>Sheet1!$B$2:$S$2</c:f>
              <c:numCache>
                <c:formatCode>"$"0.0,,</c:formatCode>
                <c:ptCount val="18"/>
                <c:pt idx="0">
                  <c:v>101703821.29999995</c:v>
                </c:pt>
                <c:pt idx="1">
                  <c:v>111284277.42000003</c:v>
                </c:pt>
                <c:pt idx="2">
                  <c:v>98702180.979999959</c:v>
                </c:pt>
                <c:pt idx="3">
                  <c:v>86719244.429999977</c:v>
                </c:pt>
                <c:pt idx="4">
                  <c:v>98497978.900000066</c:v>
                </c:pt>
                <c:pt idx="5">
                  <c:v>99783539.560000002</c:v>
                </c:pt>
                <c:pt idx="6">
                  <c:v>77603611.790000007</c:v>
                </c:pt>
                <c:pt idx="7">
                  <c:v>89721931.440000102</c:v>
                </c:pt>
                <c:pt idx="8">
                  <c:v>51119068.010000005</c:v>
                </c:pt>
                <c:pt idx="9">
                  <c:v>90342380.35999994</c:v>
                </c:pt>
                <c:pt idx="10">
                  <c:v>119389887.33000009</c:v>
                </c:pt>
                <c:pt idx="11">
                  <c:v>70139926.339999974</c:v>
                </c:pt>
                <c:pt idx="12">
                  <c:v>99997481.199999958</c:v>
                </c:pt>
                <c:pt idx="13">
                  <c:v>144005182.81000003</c:v>
                </c:pt>
                <c:pt idx="14">
                  <c:v>189674345.10999992</c:v>
                </c:pt>
                <c:pt idx="15">
                  <c:v>147551204.75999978</c:v>
                </c:pt>
                <c:pt idx="16">
                  <c:v>171323395.98000002</c:v>
                </c:pt>
                <c:pt idx="17">
                  <c:v>186315749.06999993</c:v>
                </c:pt>
              </c:numCache>
            </c:numRef>
          </c:val>
          <c:extLst>
            <c:ext xmlns:c16="http://schemas.microsoft.com/office/drawing/2014/chart" uri="{C3380CC4-5D6E-409C-BE32-E72D297353CC}">
              <c16:uniqueId val="{00000004-5859-4F8B-8F36-65652C2B4CA7}"/>
            </c:ext>
          </c:extLst>
        </c:ser>
        <c:dLbls>
          <c:showLegendKey val="0"/>
          <c:showVal val="0"/>
          <c:showCatName val="0"/>
          <c:showSerName val="0"/>
          <c:showPercent val="0"/>
          <c:showBubbleSize val="0"/>
        </c:dLbls>
        <c:gapWidth val="15"/>
        <c:axId val="837175656"/>
        <c:axId val="837176640"/>
      </c:barChart>
      <c:catAx>
        <c:axId val="837175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lgn="ctr">
              <a:defRPr lang="en-US" sz="900" b="1" i="0" u="none" strike="noStrike" kern="1200" baseline="0">
                <a:solidFill>
                  <a:schemeClr val="tx2"/>
                </a:solidFill>
                <a:latin typeface="Circular Pro"/>
                <a:ea typeface="+mn-ea"/>
                <a:cs typeface="+mn-cs"/>
              </a:defRPr>
            </a:pPr>
            <a:endParaRPr lang="en-US"/>
          </a:p>
        </c:txPr>
        <c:crossAx val="837176640"/>
        <c:crosses val="autoZero"/>
        <c:auto val="1"/>
        <c:lblAlgn val="ctr"/>
        <c:lblOffset val="100"/>
        <c:noMultiLvlLbl val="0"/>
      </c:catAx>
      <c:valAx>
        <c:axId val="837176640"/>
        <c:scaling>
          <c:orientation val="minMax"/>
        </c:scaling>
        <c:delete val="0"/>
        <c:axPos val="l"/>
        <c:majorGridlines>
          <c:spPr>
            <a:ln w="9525" cap="flat" cmpd="sng" algn="ctr">
              <a:noFill/>
              <a:round/>
            </a:ln>
            <a:effectLst/>
          </c:spPr>
        </c:majorGridlines>
        <c:numFmt formatCode="&quot;$&quot;0.0,," sourceLinked="1"/>
        <c:majorTickMark val="none"/>
        <c:minorTickMark val="none"/>
        <c:tickLblPos val="nextTo"/>
        <c:spPr>
          <a:noFill/>
          <a:ln>
            <a:noFill/>
          </a:ln>
          <a:effectLst/>
        </c:spPr>
        <c:txPr>
          <a:bodyPr rot="-60000000" spcFirstLastPara="1" vertOverflow="ellipsis" vert="horz" wrap="square" anchor="ctr" anchorCtr="1"/>
          <a:lstStyle/>
          <a:p>
            <a:pPr algn="ctr">
              <a:defRPr lang="en-US" sz="900" b="1" i="0" u="none" strike="noStrike" kern="1200" baseline="0">
                <a:solidFill>
                  <a:schemeClr val="tx2"/>
                </a:solidFill>
                <a:latin typeface="Circular Pro"/>
                <a:ea typeface="+mn-ea"/>
                <a:cs typeface="+mn-cs"/>
              </a:defRPr>
            </a:pPr>
            <a:endParaRPr lang="en-US"/>
          </a:p>
        </c:txPr>
        <c:crossAx val="837175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lgn="ctr">
            <a:defRPr lang="en-US" sz="900" b="1" i="0" u="none" strike="noStrike" kern="1200" baseline="0">
              <a:solidFill>
                <a:schemeClr val="tx2"/>
              </a:solidFill>
              <a:latin typeface="Circular Pro"/>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6</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 Anand</dc:creator>
  <cp:keywords/>
  <dc:description/>
  <cp:lastModifiedBy>Narayan, Anand</cp:lastModifiedBy>
  <cp:revision>21</cp:revision>
  <dcterms:created xsi:type="dcterms:W3CDTF">2019-11-06T14:23:00Z</dcterms:created>
  <dcterms:modified xsi:type="dcterms:W3CDTF">2019-11-21T18:01:00Z</dcterms:modified>
</cp:coreProperties>
</file>