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67FE" w14:textId="63B18577" w:rsidR="003E7B33" w:rsidRPr="003E7B33" w:rsidRDefault="003E7B33">
      <w:pPr>
        <w:spacing w:before="240" w:after="100"/>
        <w:jc w:val="center"/>
        <w:rPr>
          <w:rFonts w:ascii="Times New Roman" w:hAnsi="Times New Roman" w:cs="Times New Roman"/>
          <w:b/>
          <w:bCs/>
          <w:color w:val="2E75B6"/>
          <w:sz w:val="24"/>
          <w:szCs w:val="24"/>
        </w:rPr>
      </w:pPr>
      <w:r w:rsidRPr="003E7B33">
        <w:rPr>
          <w:rFonts w:ascii="Times New Roman" w:hAnsi="Times New Roman" w:cs="Times New Roman"/>
          <w:noProof/>
          <w:sz w:val="24"/>
          <w:szCs w:val="24"/>
        </w:rPr>
        <w:drawing>
          <wp:inline distT="0" distB="0" distL="0" distR="0" wp14:anchorId="2C5A0CCF" wp14:editId="15AA2E3A">
            <wp:extent cx="6057900" cy="1040130"/>
            <wp:effectExtent l="0" t="0" r="0" b="7620"/>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Picture 1"/>
                    <pic:cNvPicPr>
                      <a:picLocks noChangeAspect="1"/>
                    </pic:cNvPicPr>
                  </pic:nvPicPr>
                  <pic:blipFill>
                    <a:blip r:embed="rId7"/>
                    <a:stretch>
                      <a:fillRect/>
                    </a:stretch>
                  </pic:blipFill>
                  <pic:spPr>
                    <a:xfrm>
                      <a:off x="0" y="0"/>
                      <a:ext cx="6057900" cy="1040130"/>
                    </a:xfrm>
                    <a:prstGeom prst="rect">
                      <a:avLst/>
                    </a:prstGeom>
                  </pic:spPr>
                </pic:pic>
              </a:graphicData>
            </a:graphic>
          </wp:inline>
        </w:drawing>
      </w:r>
    </w:p>
    <w:p w14:paraId="3816F493" w14:textId="77777777" w:rsidR="003E7B33" w:rsidRPr="003E7B33" w:rsidRDefault="003E7B33">
      <w:pPr>
        <w:spacing w:before="240" w:after="100"/>
        <w:jc w:val="center"/>
        <w:rPr>
          <w:rFonts w:ascii="Times New Roman" w:hAnsi="Times New Roman" w:cs="Times New Roman"/>
          <w:b/>
          <w:bCs/>
          <w:color w:val="2E75B6"/>
          <w:sz w:val="24"/>
          <w:szCs w:val="24"/>
        </w:rPr>
      </w:pPr>
    </w:p>
    <w:p w14:paraId="64FEA2B1" w14:textId="59554A79" w:rsidR="003D3097" w:rsidRPr="003E7B33" w:rsidRDefault="00000000">
      <w:pPr>
        <w:spacing w:before="240" w:after="100"/>
        <w:jc w:val="center"/>
        <w:rPr>
          <w:rFonts w:ascii="Times New Roman" w:hAnsi="Times New Roman" w:cs="Times New Roman"/>
          <w:b/>
          <w:bCs/>
          <w:color w:val="2E75B6"/>
          <w:sz w:val="24"/>
          <w:szCs w:val="24"/>
        </w:rPr>
      </w:pPr>
      <w:r w:rsidRPr="003E7B33">
        <w:rPr>
          <w:rFonts w:ascii="Times New Roman" w:hAnsi="Times New Roman" w:cs="Times New Roman"/>
          <w:b/>
          <w:bCs/>
          <w:color w:val="2E75B6"/>
          <w:sz w:val="24"/>
          <w:szCs w:val="24"/>
        </w:rPr>
        <w:t>AI-Driven Construction Site Safety Monitoring Platform</w:t>
      </w:r>
    </w:p>
    <w:p w14:paraId="79E38077" w14:textId="77777777" w:rsidR="003E7B33" w:rsidRPr="003E7B33" w:rsidRDefault="003E7B33" w:rsidP="003E7B33">
      <w:pPr>
        <w:jc w:val="center"/>
        <w:rPr>
          <w:rFonts w:ascii="Times New Roman" w:hAnsi="Times New Roman" w:cs="Times New Roman"/>
          <w:b/>
          <w:bCs/>
          <w:sz w:val="24"/>
          <w:szCs w:val="24"/>
        </w:rPr>
      </w:pPr>
    </w:p>
    <w:p w14:paraId="2E9BDCB3" w14:textId="77777777" w:rsidR="003E7B33" w:rsidRPr="003E7B33" w:rsidRDefault="003E7B33" w:rsidP="003E7B33">
      <w:pPr>
        <w:jc w:val="center"/>
        <w:rPr>
          <w:rFonts w:ascii="Times New Roman" w:hAnsi="Times New Roman" w:cs="Times New Roman"/>
          <w:b/>
          <w:bCs/>
          <w:sz w:val="24"/>
          <w:szCs w:val="24"/>
        </w:rPr>
      </w:pPr>
    </w:p>
    <w:p w14:paraId="29BA7085" w14:textId="77777777" w:rsidR="003E7B33" w:rsidRPr="003E7B33" w:rsidRDefault="003E7B33" w:rsidP="003E7B33">
      <w:pPr>
        <w:jc w:val="center"/>
        <w:rPr>
          <w:rFonts w:ascii="Times New Roman" w:hAnsi="Times New Roman" w:cs="Times New Roman"/>
          <w:b/>
          <w:bCs/>
          <w:sz w:val="24"/>
          <w:szCs w:val="24"/>
        </w:rPr>
      </w:pPr>
    </w:p>
    <w:p w14:paraId="17947467" w14:textId="2C6E9798" w:rsidR="003E7B33" w:rsidRPr="003E7B33" w:rsidRDefault="003E7B33" w:rsidP="003E7B33">
      <w:pPr>
        <w:jc w:val="center"/>
        <w:rPr>
          <w:rFonts w:ascii="Times New Roman" w:hAnsi="Times New Roman" w:cs="Times New Roman"/>
          <w:b/>
          <w:bCs/>
          <w:sz w:val="24"/>
          <w:szCs w:val="24"/>
        </w:rPr>
      </w:pPr>
      <w:r w:rsidRPr="003E7B33">
        <w:rPr>
          <w:rFonts w:ascii="Times New Roman" w:hAnsi="Times New Roman" w:cs="Times New Roman"/>
          <w:b/>
          <w:bCs/>
          <w:sz w:val="24"/>
          <w:szCs w:val="24"/>
        </w:rPr>
        <w:t>CSA1012 — SOFTWARE ENGINEERING</w:t>
      </w:r>
    </w:p>
    <w:p w14:paraId="35425F19" w14:textId="77777777" w:rsidR="003E7B33" w:rsidRPr="003E7B33" w:rsidRDefault="003E7B33" w:rsidP="003E7B33">
      <w:pPr>
        <w:jc w:val="center"/>
        <w:rPr>
          <w:rFonts w:ascii="Times New Roman" w:hAnsi="Times New Roman" w:cs="Times New Roman"/>
          <w:sz w:val="24"/>
          <w:szCs w:val="24"/>
        </w:rPr>
      </w:pPr>
    </w:p>
    <w:p w14:paraId="4E470717" w14:textId="77777777" w:rsidR="003E7B33" w:rsidRPr="003E7B33" w:rsidRDefault="003E7B33" w:rsidP="003E7B33">
      <w:pPr>
        <w:jc w:val="center"/>
        <w:rPr>
          <w:rFonts w:ascii="Times New Roman" w:hAnsi="Times New Roman" w:cs="Times New Roman"/>
          <w:i/>
          <w:iCs/>
          <w:sz w:val="24"/>
          <w:szCs w:val="24"/>
        </w:rPr>
      </w:pPr>
      <w:r w:rsidRPr="003E7B33">
        <w:rPr>
          <w:rFonts w:ascii="Times New Roman" w:hAnsi="Times New Roman" w:cs="Times New Roman"/>
          <w:i/>
          <w:iCs/>
          <w:sz w:val="24"/>
          <w:szCs w:val="24"/>
        </w:rPr>
        <w:t>towards the award of the degree of</w:t>
      </w:r>
    </w:p>
    <w:p w14:paraId="15E7E25D" w14:textId="77777777" w:rsidR="003E7B33" w:rsidRPr="003E7B33" w:rsidRDefault="003E7B33" w:rsidP="003E7B33">
      <w:pPr>
        <w:jc w:val="center"/>
        <w:rPr>
          <w:rFonts w:ascii="Times New Roman" w:hAnsi="Times New Roman" w:cs="Times New Roman"/>
          <w:sz w:val="24"/>
          <w:szCs w:val="24"/>
        </w:rPr>
      </w:pPr>
    </w:p>
    <w:p w14:paraId="7BE3B790" w14:textId="77777777" w:rsidR="003E7B33" w:rsidRPr="003E7B33" w:rsidRDefault="003E7B33" w:rsidP="003E7B33">
      <w:pPr>
        <w:jc w:val="center"/>
        <w:rPr>
          <w:rFonts w:ascii="Times New Roman" w:hAnsi="Times New Roman" w:cs="Times New Roman"/>
          <w:sz w:val="24"/>
          <w:szCs w:val="24"/>
        </w:rPr>
      </w:pPr>
      <w:r w:rsidRPr="003E7B33">
        <w:rPr>
          <w:rFonts w:ascii="Times New Roman" w:hAnsi="Times New Roman" w:cs="Times New Roman"/>
          <w:b/>
          <w:bCs/>
          <w:sz w:val="24"/>
          <w:szCs w:val="24"/>
        </w:rPr>
        <w:t>BACHELOR OF TECHNOLOGY</w:t>
      </w:r>
    </w:p>
    <w:p w14:paraId="6A060ED7" w14:textId="77777777" w:rsidR="003E7B33" w:rsidRPr="003E7B33" w:rsidRDefault="003E7B33" w:rsidP="003E7B33">
      <w:pPr>
        <w:jc w:val="center"/>
        <w:rPr>
          <w:rFonts w:ascii="Times New Roman" w:hAnsi="Times New Roman" w:cs="Times New Roman"/>
          <w:sz w:val="24"/>
          <w:szCs w:val="24"/>
        </w:rPr>
      </w:pPr>
      <w:r w:rsidRPr="003E7B33">
        <w:rPr>
          <w:rFonts w:ascii="Times New Roman" w:hAnsi="Times New Roman" w:cs="Times New Roman"/>
          <w:sz w:val="24"/>
          <w:szCs w:val="24"/>
        </w:rPr>
        <w:t>IN</w:t>
      </w:r>
    </w:p>
    <w:p w14:paraId="05742DF1" w14:textId="77777777" w:rsidR="003E7B33" w:rsidRPr="003E7B33" w:rsidRDefault="003E7B33" w:rsidP="003E7B33">
      <w:pPr>
        <w:jc w:val="center"/>
        <w:rPr>
          <w:rFonts w:ascii="Times New Roman" w:hAnsi="Times New Roman" w:cs="Times New Roman"/>
          <w:b/>
          <w:bCs/>
          <w:sz w:val="24"/>
          <w:szCs w:val="24"/>
        </w:rPr>
      </w:pPr>
      <w:r w:rsidRPr="003E7B33">
        <w:rPr>
          <w:rFonts w:ascii="Times New Roman" w:hAnsi="Times New Roman" w:cs="Times New Roman"/>
          <w:b/>
          <w:bCs/>
          <w:sz w:val="24"/>
          <w:szCs w:val="24"/>
        </w:rPr>
        <w:t>COMPUTER SCIENCE (AI)</w:t>
      </w:r>
    </w:p>
    <w:p w14:paraId="5513363D" w14:textId="77777777" w:rsidR="003E7B33" w:rsidRPr="003E7B33" w:rsidRDefault="003E7B33" w:rsidP="003E7B33">
      <w:pPr>
        <w:jc w:val="center"/>
        <w:rPr>
          <w:rFonts w:ascii="Times New Roman" w:hAnsi="Times New Roman" w:cs="Times New Roman"/>
          <w:sz w:val="24"/>
          <w:szCs w:val="24"/>
        </w:rPr>
      </w:pPr>
    </w:p>
    <w:p w14:paraId="5D14AB22" w14:textId="77777777" w:rsidR="003E7B33" w:rsidRPr="003E7B33" w:rsidRDefault="003E7B33" w:rsidP="003E7B33">
      <w:pPr>
        <w:jc w:val="center"/>
        <w:rPr>
          <w:rFonts w:ascii="Times New Roman" w:hAnsi="Times New Roman" w:cs="Times New Roman"/>
          <w:sz w:val="24"/>
          <w:szCs w:val="24"/>
        </w:rPr>
      </w:pPr>
      <w:r w:rsidRPr="003E7B33">
        <w:rPr>
          <w:rFonts w:ascii="Times New Roman" w:hAnsi="Times New Roman" w:cs="Times New Roman"/>
          <w:sz w:val="24"/>
          <w:szCs w:val="24"/>
        </w:rPr>
        <w:t>Submitted by</w:t>
      </w:r>
    </w:p>
    <w:p w14:paraId="7CF6238B" w14:textId="77777777" w:rsidR="003E7B33" w:rsidRPr="003E7B33" w:rsidRDefault="003E7B33" w:rsidP="003E7B33">
      <w:pPr>
        <w:jc w:val="center"/>
        <w:rPr>
          <w:rFonts w:ascii="Times New Roman" w:hAnsi="Times New Roman" w:cs="Times New Roman"/>
          <w:sz w:val="24"/>
          <w:szCs w:val="24"/>
        </w:rPr>
      </w:pPr>
    </w:p>
    <w:p w14:paraId="09BE96CB" w14:textId="77777777" w:rsidR="003E7B33" w:rsidRPr="003E7B33" w:rsidRDefault="003E7B33" w:rsidP="003E7B33">
      <w:pPr>
        <w:jc w:val="center"/>
        <w:rPr>
          <w:rFonts w:ascii="Times New Roman" w:hAnsi="Times New Roman" w:cs="Times New Roman"/>
          <w:b/>
          <w:bCs/>
          <w:sz w:val="24"/>
          <w:szCs w:val="24"/>
        </w:rPr>
      </w:pPr>
      <w:r w:rsidRPr="003E7B33">
        <w:rPr>
          <w:rFonts w:ascii="Times New Roman" w:hAnsi="Times New Roman" w:cs="Times New Roman"/>
          <w:b/>
          <w:bCs/>
          <w:sz w:val="24"/>
          <w:szCs w:val="24"/>
        </w:rPr>
        <w:t>K.P. SREENATH REDDY (192373049)</w:t>
      </w:r>
    </w:p>
    <w:p w14:paraId="6FAB90A2" w14:textId="77777777" w:rsidR="003E7B33" w:rsidRPr="003E7B33" w:rsidRDefault="003E7B33" w:rsidP="003E7B33">
      <w:pPr>
        <w:jc w:val="center"/>
        <w:rPr>
          <w:rFonts w:ascii="Times New Roman" w:hAnsi="Times New Roman" w:cs="Times New Roman"/>
          <w:sz w:val="24"/>
          <w:szCs w:val="24"/>
        </w:rPr>
      </w:pPr>
    </w:p>
    <w:p w14:paraId="23D87B1C" w14:textId="77777777" w:rsidR="003E7B33" w:rsidRPr="003E7B33" w:rsidRDefault="003E7B33" w:rsidP="003E7B33">
      <w:pPr>
        <w:jc w:val="center"/>
        <w:rPr>
          <w:rFonts w:ascii="Times New Roman" w:hAnsi="Times New Roman" w:cs="Times New Roman"/>
          <w:sz w:val="24"/>
          <w:szCs w:val="24"/>
        </w:rPr>
      </w:pPr>
      <w:r w:rsidRPr="003E7B33">
        <w:rPr>
          <w:rFonts w:ascii="Times New Roman" w:hAnsi="Times New Roman" w:cs="Times New Roman"/>
          <w:sz w:val="24"/>
          <w:szCs w:val="24"/>
        </w:rPr>
        <w:t>Under the Supervision of</w:t>
      </w:r>
    </w:p>
    <w:p w14:paraId="42F79625" w14:textId="77777777" w:rsidR="003E7B33" w:rsidRPr="003E7B33" w:rsidRDefault="003E7B33" w:rsidP="003E7B33">
      <w:pPr>
        <w:jc w:val="center"/>
        <w:rPr>
          <w:rFonts w:ascii="Times New Roman" w:hAnsi="Times New Roman" w:cs="Times New Roman"/>
          <w:sz w:val="24"/>
          <w:szCs w:val="24"/>
        </w:rPr>
      </w:pPr>
    </w:p>
    <w:p w14:paraId="2F47F364" w14:textId="77777777" w:rsidR="003E7B33" w:rsidRPr="003E7B33" w:rsidRDefault="003E7B33" w:rsidP="003E7B33">
      <w:pPr>
        <w:jc w:val="center"/>
        <w:rPr>
          <w:rFonts w:ascii="Times New Roman" w:hAnsi="Times New Roman" w:cs="Times New Roman"/>
          <w:sz w:val="24"/>
          <w:szCs w:val="24"/>
        </w:rPr>
      </w:pPr>
      <w:r w:rsidRPr="003E7B33">
        <w:rPr>
          <w:rFonts w:ascii="Times New Roman" w:hAnsi="Times New Roman" w:cs="Times New Roman"/>
          <w:b/>
          <w:bCs/>
          <w:sz w:val="24"/>
          <w:szCs w:val="24"/>
        </w:rPr>
        <w:t>DR ANITADAVAMANI K</w:t>
      </w:r>
    </w:p>
    <w:p w14:paraId="76511705" w14:textId="77777777" w:rsidR="003E7B33" w:rsidRPr="003E7B33" w:rsidRDefault="003E7B33" w:rsidP="003E7B33">
      <w:pPr>
        <w:jc w:val="center"/>
        <w:rPr>
          <w:rFonts w:ascii="Times New Roman" w:hAnsi="Times New Roman" w:cs="Times New Roman"/>
          <w:sz w:val="24"/>
          <w:szCs w:val="24"/>
        </w:rPr>
      </w:pPr>
      <w:r w:rsidRPr="003E7B33">
        <w:rPr>
          <w:rFonts w:ascii="Times New Roman" w:hAnsi="Times New Roman" w:cs="Times New Roman"/>
          <w:b/>
          <w:bCs/>
          <w:sz w:val="24"/>
          <w:szCs w:val="24"/>
        </w:rPr>
        <w:t>SIMATS ENGINEERING</w:t>
      </w:r>
    </w:p>
    <w:p w14:paraId="1FED16E6" w14:textId="77777777" w:rsidR="003E7B33" w:rsidRPr="003E7B33" w:rsidRDefault="003E7B33" w:rsidP="003E7B33">
      <w:pPr>
        <w:jc w:val="center"/>
        <w:rPr>
          <w:rFonts w:ascii="Times New Roman" w:hAnsi="Times New Roman" w:cs="Times New Roman"/>
          <w:sz w:val="24"/>
          <w:szCs w:val="24"/>
        </w:rPr>
      </w:pPr>
      <w:r w:rsidRPr="003E7B33">
        <w:rPr>
          <w:rFonts w:ascii="Times New Roman" w:hAnsi="Times New Roman" w:cs="Times New Roman"/>
          <w:sz w:val="24"/>
          <w:szCs w:val="24"/>
        </w:rPr>
        <w:t>Saveetha Institute of Medical and Technical Sciences</w:t>
      </w:r>
    </w:p>
    <w:p w14:paraId="65944799" w14:textId="77777777" w:rsidR="003E7B33" w:rsidRPr="003E7B33" w:rsidRDefault="003E7B33" w:rsidP="003E7B33">
      <w:pPr>
        <w:jc w:val="center"/>
        <w:rPr>
          <w:rFonts w:ascii="Times New Roman" w:hAnsi="Times New Roman" w:cs="Times New Roman"/>
          <w:sz w:val="24"/>
          <w:szCs w:val="24"/>
        </w:rPr>
      </w:pPr>
      <w:r w:rsidRPr="003E7B33">
        <w:rPr>
          <w:rFonts w:ascii="Times New Roman" w:hAnsi="Times New Roman" w:cs="Times New Roman"/>
          <w:sz w:val="24"/>
          <w:szCs w:val="24"/>
        </w:rPr>
        <w:t>Chennai — 602105</w:t>
      </w:r>
    </w:p>
    <w:p w14:paraId="048BB4D1" w14:textId="77777777" w:rsidR="003E7B33" w:rsidRPr="003E7B33" w:rsidRDefault="003E7B33" w:rsidP="003E7B33">
      <w:pPr>
        <w:jc w:val="center"/>
        <w:rPr>
          <w:rFonts w:ascii="Times New Roman" w:hAnsi="Times New Roman" w:cs="Times New Roman"/>
          <w:sz w:val="24"/>
          <w:szCs w:val="24"/>
        </w:rPr>
      </w:pPr>
      <w:r w:rsidRPr="003E7B33">
        <w:rPr>
          <w:rFonts w:ascii="Times New Roman" w:hAnsi="Times New Roman" w:cs="Times New Roman"/>
          <w:b/>
          <w:bCs/>
          <w:sz w:val="24"/>
          <w:szCs w:val="24"/>
        </w:rPr>
        <w:t>Aug 2026</w:t>
      </w:r>
    </w:p>
    <w:p w14:paraId="49A9F122" w14:textId="77777777" w:rsidR="003E7B33" w:rsidRPr="003E7B33" w:rsidRDefault="003E7B33">
      <w:pPr>
        <w:spacing w:before="240" w:after="100"/>
        <w:jc w:val="center"/>
        <w:rPr>
          <w:rFonts w:ascii="Times New Roman" w:hAnsi="Times New Roman" w:cs="Times New Roman"/>
          <w:sz w:val="24"/>
          <w:szCs w:val="24"/>
        </w:rPr>
      </w:pPr>
    </w:p>
    <w:p w14:paraId="768FA0FF" w14:textId="77777777" w:rsidR="003E7B33" w:rsidRPr="003E7B33" w:rsidRDefault="003E7B33">
      <w:pPr>
        <w:spacing w:before="240" w:after="100"/>
        <w:jc w:val="center"/>
        <w:rPr>
          <w:rFonts w:ascii="Times New Roman" w:hAnsi="Times New Roman" w:cs="Times New Roman"/>
          <w:sz w:val="24"/>
          <w:szCs w:val="24"/>
        </w:rPr>
      </w:pPr>
    </w:p>
    <w:p w14:paraId="152C393D" w14:textId="77777777" w:rsidR="003E7B33" w:rsidRPr="003E7B33" w:rsidRDefault="003E7B33">
      <w:pPr>
        <w:spacing w:before="240" w:after="100"/>
        <w:jc w:val="center"/>
        <w:rPr>
          <w:rFonts w:ascii="Times New Roman" w:hAnsi="Times New Roman" w:cs="Times New Roman"/>
          <w:sz w:val="24"/>
          <w:szCs w:val="24"/>
        </w:rPr>
      </w:pPr>
    </w:p>
    <w:p w14:paraId="7FA07A4B" w14:textId="77777777" w:rsidR="003E7B33" w:rsidRPr="003E7B33" w:rsidRDefault="003E7B33">
      <w:pPr>
        <w:spacing w:before="240" w:after="100"/>
        <w:jc w:val="center"/>
        <w:rPr>
          <w:rFonts w:ascii="Times New Roman" w:hAnsi="Times New Roman" w:cs="Times New Roman"/>
          <w:sz w:val="24"/>
          <w:szCs w:val="24"/>
        </w:rPr>
      </w:pPr>
    </w:p>
    <w:p w14:paraId="409345F5" w14:textId="77777777" w:rsidR="003E7B33" w:rsidRPr="003E7B33" w:rsidRDefault="003E7B33">
      <w:pPr>
        <w:spacing w:before="240" w:after="100"/>
        <w:jc w:val="center"/>
        <w:rPr>
          <w:rFonts w:ascii="Times New Roman" w:hAnsi="Times New Roman" w:cs="Times New Roman"/>
          <w:sz w:val="24"/>
          <w:szCs w:val="24"/>
        </w:rPr>
      </w:pPr>
    </w:p>
    <w:p w14:paraId="3E4C2239" w14:textId="77777777" w:rsidR="003E7B33" w:rsidRPr="003E7B33" w:rsidRDefault="003E7B33">
      <w:pPr>
        <w:spacing w:before="240" w:after="100"/>
        <w:jc w:val="center"/>
        <w:rPr>
          <w:rFonts w:ascii="Times New Roman" w:hAnsi="Times New Roman" w:cs="Times New Roman"/>
          <w:sz w:val="24"/>
          <w:szCs w:val="24"/>
        </w:rPr>
      </w:pPr>
    </w:p>
    <w:p w14:paraId="18BFF3A4" w14:textId="77777777" w:rsidR="003E7B33" w:rsidRPr="003E7B33" w:rsidRDefault="003E7B33">
      <w:pPr>
        <w:spacing w:before="240" w:after="100"/>
        <w:jc w:val="center"/>
        <w:rPr>
          <w:rFonts w:ascii="Times New Roman" w:hAnsi="Times New Roman" w:cs="Times New Roman"/>
          <w:sz w:val="24"/>
          <w:szCs w:val="24"/>
        </w:rPr>
      </w:pPr>
    </w:p>
    <w:p w14:paraId="750F206C" w14:textId="77777777" w:rsidR="003E7B33" w:rsidRPr="003E7B33" w:rsidRDefault="003E7B33">
      <w:pPr>
        <w:spacing w:before="240" w:after="100"/>
        <w:jc w:val="center"/>
        <w:rPr>
          <w:rFonts w:ascii="Times New Roman" w:hAnsi="Times New Roman" w:cs="Times New Roman"/>
          <w:sz w:val="24"/>
          <w:szCs w:val="24"/>
        </w:rPr>
      </w:pPr>
    </w:p>
    <w:p w14:paraId="3DF544A4" w14:textId="77777777" w:rsidR="003E7B33" w:rsidRPr="003E7B33" w:rsidRDefault="003E7B33">
      <w:pPr>
        <w:spacing w:before="240" w:after="100"/>
        <w:jc w:val="center"/>
        <w:rPr>
          <w:rFonts w:ascii="Times New Roman" w:hAnsi="Times New Roman" w:cs="Times New Roman"/>
          <w:sz w:val="24"/>
          <w:szCs w:val="24"/>
        </w:rPr>
      </w:pPr>
    </w:p>
    <w:p w14:paraId="3C658267" w14:textId="77777777" w:rsidR="003D3097" w:rsidRPr="003E7B33" w:rsidRDefault="00000000">
      <w:pPr>
        <w:pStyle w:val="Heading1"/>
        <w:rPr>
          <w:rFonts w:ascii="Times New Roman" w:hAnsi="Times New Roman" w:cs="Times New Roman"/>
          <w:sz w:val="24"/>
          <w:szCs w:val="24"/>
        </w:rPr>
      </w:pPr>
      <w:r w:rsidRPr="003E7B33">
        <w:rPr>
          <w:rFonts w:ascii="Times New Roman" w:hAnsi="Times New Roman" w:cs="Times New Roman"/>
          <w:sz w:val="24"/>
          <w:szCs w:val="24"/>
        </w:rPr>
        <w:t>1. Introduction</w:t>
      </w:r>
    </w:p>
    <w:p w14:paraId="1D488A01"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The AI-Driven Construction Site Safety Monitoring Platform is a mission-critical, multi-tenant system that continuously ingests video streams, IoT sensor telemetry, wearable device data, and equipment status feeds to detect unsafe conditions on active construction sites. Because the platform directly influences worker safety, regulatory compliance, and real-time supervisor alerts, the software delivery process supporting it must be fast, reliable, auditable, and safe to change. This document defines the Continuous Integration and Continuous Delivery (CI/CD) pipeline that will be used to build, test, secure, package, and deploy every component of the platform — from the computer-vision PPE-detection microservice to the supervisor notification and compliance-reporting modules.</w:t>
      </w:r>
    </w:p>
    <w:p w14:paraId="02E30103"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The pipeline design below directly addresses the seven deliverable requirements of the assignment: requirement analysis, pipeline stage design, tool selection with justification, automated testing strategy, multi-environment deployment strategy, security/quality/notification/rollback mechanisms, and a pipeline diagram with an end-to-end workflow explanation.</w:t>
      </w:r>
    </w:p>
    <w:p w14:paraId="59AA8FDA"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1.1 Purpose of this Document</w:t>
      </w:r>
    </w:p>
    <w:p w14:paraId="7F5D8E23"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This document serves as the authoritative CI/CD design reference for engineering, DevOps, QA, and safety-compliance stakeholders. It describes how source code moves from a developer's commit to a running, monitored production service across all construction project deployments, while maintaining regulatory-grade traceability and minimizing the risk of shipping a defect that could compromise a life-safety feature (e.g., PPE-violation detection or hazardous-zone intrusion alerts).</w:t>
      </w:r>
    </w:p>
    <w:p w14:paraId="4322D3CB"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1.2 System Characteristics Driving the Pipeline Design</w:t>
      </w:r>
    </w:p>
    <w:p w14:paraId="2A23EEFC"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Real-time AI inference workloads — </w:t>
      </w:r>
      <w:r w:rsidRPr="003E7B33">
        <w:rPr>
          <w:rFonts w:ascii="Times New Roman" w:hAnsi="Times New Roman" w:cs="Times New Roman"/>
          <w:sz w:val="24"/>
          <w:szCs w:val="24"/>
        </w:rPr>
        <w:t>Real-time computer-vision inference services (PPE detection, hazard-zone intrusion, equipment proximity) that must be containerized and independently deployable.</w:t>
      </w:r>
    </w:p>
    <w:p w14:paraId="3F940407"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High-volume IoT/sensor data — </w:t>
      </w:r>
      <w:r w:rsidRPr="003E7B33">
        <w:rPr>
          <w:rFonts w:ascii="Times New Roman" w:hAnsi="Times New Roman" w:cs="Times New Roman"/>
          <w:sz w:val="24"/>
          <w:szCs w:val="24"/>
        </w:rPr>
        <w:t>Streaming and event-driven ingestion from IoT sensors, wearables, and equipment telematics, requiring message-queue and stream-processing components.</w:t>
      </w:r>
    </w:p>
    <w:p w14:paraId="2C6B4926"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Multi-project, multi-tenant scale — </w:t>
      </w:r>
      <w:r w:rsidRPr="003E7B33">
        <w:rPr>
          <w:rFonts w:ascii="Times New Roman" w:hAnsi="Times New Roman" w:cs="Times New Roman"/>
          <w:sz w:val="24"/>
          <w:szCs w:val="24"/>
        </w:rPr>
        <w:t>Multiple concurrent construction projects/sites, each with isolated data, dashboards, and configurations, demanding a scalable, multi-tenant microservices architecture.</w:t>
      </w:r>
    </w:p>
    <w:p w14:paraId="2AE21105"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Safety-critical nature — </w:t>
      </w:r>
      <w:r w:rsidRPr="003E7B33">
        <w:rPr>
          <w:rFonts w:ascii="Times New Roman" w:hAnsi="Times New Roman" w:cs="Times New Roman"/>
          <w:sz w:val="24"/>
          <w:szCs w:val="24"/>
        </w:rPr>
        <w:t>Missed or delayed alerts, false negatives in hazard detection, or downtime during deployment can directly endanger workers, making rigorous testing and safe rollback mandatory.</w:t>
      </w:r>
    </w:p>
    <w:p w14:paraId="3DB3BAF8"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Regulatory and data-privacy obligations — </w:t>
      </w:r>
      <w:r w:rsidRPr="003E7B33">
        <w:rPr>
          <w:rFonts w:ascii="Times New Roman" w:hAnsi="Times New Roman" w:cs="Times New Roman"/>
          <w:sz w:val="24"/>
          <w:szCs w:val="24"/>
        </w:rPr>
        <w:t>Worker biometric/location data and site video require encryption, access control, and compliance with data-protection and OSHA-type regulatory recordkeeping.</w:t>
      </w:r>
    </w:p>
    <w:p w14:paraId="331880E1" w14:textId="77777777" w:rsidR="003D3097" w:rsidRPr="003E7B33" w:rsidRDefault="00000000">
      <w:pPr>
        <w:pStyle w:val="Heading1"/>
        <w:rPr>
          <w:rFonts w:ascii="Times New Roman" w:hAnsi="Times New Roman" w:cs="Times New Roman"/>
          <w:sz w:val="24"/>
          <w:szCs w:val="24"/>
        </w:rPr>
      </w:pPr>
      <w:r w:rsidRPr="003E7B33">
        <w:rPr>
          <w:rFonts w:ascii="Times New Roman" w:hAnsi="Times New Roman" w:cs="Times New Roman"/>
          <w:sz w:val="24"/>
          <w:szCs w:val="24"/>
        </w:rPr>
        <w:t>2. Requirement Analysis and CI/CD Needs</w:t>
      </w:r>
    </w:p>
    <w:p w14:paraId="4E1507D6"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lastRenderedPageBreak/>
        <w:t>Analyzing the problem statement against standard DevOps practice reveals that the platform is composed of loosely coupled microservices (video ingestion, AI inference, IoT data processing, alerting/notification, reporting, and the multi-project management/administration layer). Each of these services has a different release cadence, risk profile, and testing need, which directly shapes the CI/CD requirements below.</w:t>
      </w:r>
    </w:p>
    <w:p w14:paraId="17DA7D41"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2.1 Mapping Objectives to CI/CD Needs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50"/>
        <w:gridCol w:w="3350"/>
      </w:tblGrid>
      <w:tr w:rsidR="003D3097" w:rsidRPr="003E7B33" w14:paraId="626FF12E" w14:textId="77777777">
        <w:tblPrEx>
          <w:tblCellMar>
            <w:top w:w="0" w:type="dxa"/>
            <w:bottom w:w="0" w:type="dxa"/>
          </w:tblCellMar>
        </w:tblPrEx>
        <w:trPr>
          <w:tblHeader/>
        </w:trPr>
        <w:tc>
          <w:tcPr>
            <w:tcW w:w="2500" w:type="dxa"/>
            <w:shd w:val="clear" w:color="auto" w:fill="1F4E79"/>
            <w:tcMar>
              <w:top w:w="90" w:type="dxa"/>
              <w:left w:w="110" w:type="dxa"/>
              <w:bottom w:w="90" w:type="dxa"/>
              <w:right w:w="110" w:type="dxa"/>
            </w:tcMar>
            <w:vAlign w:val="center"/>
          </w:tcPr>
          <w:p w14:paraId="3403D84B"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Platform Objective</w:t>
            </w:r>
          </w:p>
        </w:tc>
        <w:tc>
          <w:tcPr>
            <w:tcW w:w="3550" w:type="dxa"/>
            <w:shd w:val="clear" w:color="auto" w:fill="1F4E79"/>
            <w:tcMar>
              <w:top w:w="90" w:type="dxa"/>
              <w:left w:w="110" w:type="dxa"/>
              <w:bottom w:w="90" w:type="dxa"/>
              <w:right w:w="110" w:type="dxa"/>
            </w:tcMar>
            <w:vAlign w:val="center"/>
          </w:tcPr>
          <w:p w14:paraId="128D7922"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Engineering / CI-CD Implication</w:t>
            </w:r>
          </w:p>
        </w:tc>
        <w:tc>
          <w:tcPr>
            <w:tcW w:w="3350" w:type="dxa"/>
            <w:shd w:val="clear" w:color="auto" w:fill="1F4E79"/>
            <w:tcMar>
              <w:top w:w="90" w:type="dxa"/>
              <w:left w:w="110" w:type="dxa"/>
              <w:bottom w:w="90" w:type="dxa"/>
              <w:right w:w="110" w:type="dxa"/>
            </w:tcMar>
            <w:vAlign w:val="center"/>
          </w:tcPr>
          <w:p w14:paraId="586CD68E"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Pipeline Response</w:t>
            </w:r>
          </w:p>
        </w:tc>
      </w:tr>
      <w:tr w:rsidR="003D3097" w:rsidRPr="003E7B33" w14:paraId="7F9BB3E0" w14:textId="77777777">
        <w:tblPrEx>
          <w:tblCellMar>
            <w:top w:w="0" w:type="dxa"/>
            <w:bottom w:w="0" w:type="dxa"/>
          </w:tblCellMar>
        </w:tblPrEx>
        <w:tc>
          <w:tcPr>
            <w:tcW w:w="2500" w:type="dxa"/>
            <w:shd w:val="clear" w:color="auto" w:fill="FFFFFF"/>
            <w:tcMar>
              <w:top w:w="90" w:type="dxa"/>
              <w:left w:w="110" w:type="dxa"/>
              <w:bottom w:w="90" w:type="dxa"/>
              <w:right w:w="110" w:type="dxa"/>
            </w:tcMar>
            <w:vAlign w:val="center"/>
          </w:tcPr>
          <w:p w14:paraId="7B846B9E"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Continuous worker safety monitoring</w:t>
            </w:r>
          </w:p>
        </w:tc>
        <w:tc>
          <w:tcPr>
            <w:tcW w:w="3550" w:type="dxa"/>
            <w:shd w:val="clear" w:color="auto" w:fill="FFFFFF"/>
            <w:tcMar>
              <w:top w:w="90" w:type="dxa"/>
              <w:left w:w="110" w:type="dxa"/>
              <w:bottom w:w="90" w:type="dxa"/>
              <w:right w:w="110" w:type="dxa"/>
            </w:tcMar>
            <w:vAlign w:val="center"/>
          </w:tcPr>
          <w:p w14:paraId="22217A8C"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Frequent, low-risk deployments of streaming/inference services without downtime</w:t>
            </w:r>
          </w:p>
        </w:tc>
        <w:tc>
          <w:tcPr>
            <w:tcW w:w="3350" w:type="dxa"/>
            <w:shd w:val="clear" w:color="auto" w:fill="FFFFFF"/>
            <w:tcMar>
              <w:top w:w="90" w:type="dxa"/>
              <w:left w:w="110" w:type="dxa"/>
              <w:bottom w:w="90" w:type="dxa"/>
              <w:right w:w="110" w:type="dxa"/>
            </w:tcMar>
            <w:vAlign w:val="center"/>
          </w:tcPr>
          <w:p w14:paraId="796700EE"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Rolling/blue-green deployment, health-checked rollout, zero-downtime CI/CD</w:t>
            </w:r>
          </w:p>
        </w:tc>
      </w:tr>
      <w:tr w:rsidR="003D3097" w:rsidRPr="003E7B33" w14:paraId="2E7B8E2C" w14:textId="77777777">
        <w:tblPrEx>
          <w:tblCellMar>
            <w:top w:w="0" w:type="dxa"/>
            <w:bottom w:w="0" w:type="dxa"/>
          </w:tblCellMar>
        </w:tblPrEx>
        <w:tc>
          <w:tcPr>
            <w:tcW w:w="2500" w:type="dxa"/>
            <w:shd w:val="clear" w:color="auto" w:fill="F2F6FA"/>
            <w:tcMar>
              <w:top w:w="90" w:type="dxa"/>
              <w:left w:w="110" w:type="dxa"/>
              <w:bottom w:w="90" w:type="dxa"/>
              <w:right w:w="110" w:type="dxa"/>
            </w:tcMar>
            <w:vAlign w:val="center"/>
          </w:tcPr>
          <w:p w14:paraId="13509DAD"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Automatic PPE violation detection (CV/AI models)</w:t>
            </w:r>
          </w:p>
        </w:tc>
        <w:tc>
          <w:tcPr>
            <w:tcW w:w="3550" w:type="dxa"/>
            <w:shd w:val="clear" w:color="auto" w:fill="F2F6FA"/>
            <w:tcMar>
              <w:top w:w="90" w:type="dxa"/>
              <w:left w:w="110" w:type="dxa"/>
              <w:bottom w:w="90" w:type="dxa"/>
              <w:right w:w="110" w:type="dxa"/>
            </w:tcMar>
            <w:vAlign w:val="center"/>
          </w:tcPr>
          <w:p w14:paraId="16BDAEB9"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Reliable versioning, testing, and rollback of AI/ML model artifacts</w:t>
            </w:r>
          </w:p>
        </w:tc>
        <w:tc>
          <w:tcPr>
            <w:tcW w:w="3350" w:type="dxa"/>
            <w:shd w:val="clear" w:color="auto" w:fill="F2F6FA"/>
            <w:tcMar>
              <w:top w:w="90" w:type="dxa"/>
              <w:left w:w="110" w:type="dxa"/>
              <w:bottom w:w="90" w:type="dxa"/>
              <w:right w:w="110" w:type="dxa"/>
            </w:tcMar>
            <w:vAlign w:val="center"/>
          </w:tcPr>
          <w:p w14:paraId="05E49D84"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Model regression testing, artifact versioning in pipeline, canary release of new models</w:t>
            </w:r>
          </w:p>
        </w:tc>
      </w:tr>
      <w:tr w:rsidR="003D3097" w:rsidRPr="003E7B33" w14:paraId="37E10C9F" w14:textId="77777777">
        <w:tblPrEx>
          <w:tblCellMar>
            <w:top w:w="0" w:type="dxa"/>
            <w:bottom w:w="0" w:type="dxa"/>
          </w:tblCellMar>
        </w:tblPrEx>
        <w:tc>
          <w:tcPr>
            <w:tcW w:w="2500" w:type="dxa"/>
            <w:shd w:val="clear" w:color="auto" w:fill="FFFFFF"/>
            <w:tcMar>
              <w:top w:w="90" w:type="dxa"/>
              <w:left w:w="110" w:type="dxa"/>
              <w:bottom w:w="90" w:type="dxa"/>
              <w:right w:w="110" w:type="dxa"/>
            </w:tcMar>
            <w:vAlign w:val="center"/>
          </w:tcPr>
          <w:p w14:paraId="5509F0D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Hazardous zone tracking</w:t>
            </w:r>
          </w:p>
        </w:tc>
        <w:tc>
          <w:tcPr>
            <w:tcW w:w="3550" w:type="dxa"/>
            <w:shd w:val="clear" w:color="auto" w:fill="FFFFFF"/>
            <w:tcMar>
              <w:top w:w="90" w:type="dxa"/>
              <w:left w:w="110" w:type="dxa"/>
              <w:bottom w:w="90" w:type="dxa"/>
              <w:right w:w="110" w:type="dxa"/>
            </w:tcMar>
            <w:vAlign w:val="center"/>
          </w:tcPr>
          <w:p w14:paraId="79688306"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Consistent geofencing/logic changes validated before reaching live sites</w:t>
            </w:r>
          </w:p>
        </w:tc>
        <w:tc>
          <w:tcPr>
            <w:tcW w:w="3350" w:type="dxa"/>
            <w:shd w:val="clear" w:color="auto" w:fill="FFFFFF"/>
            <w:tcMar>
              <w:top w:w="90" w:type="dxa"/>
              <w:left w:w="110" w:type="dxa"/>
              <w:bottom w:w="90" w:type="dxa"/>
              <w:right w:w="110" w:type="dxa"/>
            </w:tcMar>
            <w:vAlign w:val="center"/>
          </w:tcPr>
          <w:p w14:paraId="39777C1C"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Integration &amp; E2E tests against simulated zone data in staging</w:t>
            </w:r>
          </w:p>
        </w:tc>
      </w:tr>
      <w:tr w:rsidR="003D3097" w:rsidRPr="003E7B33" w14:paraId="2A223E10" w14:textId="77777777">
        <w:tblPrEx>
          <w:tblCellMar>
            <w:top w:w="0" w:type="dxa"/>
            <w:bottom w:w="0" w:type="dxa"/>
          </w:tblCellMar>
        </w:tblPrEx>
        <w:tc>
          <w:tcPr>
            <w:tcW w:w="2500" w:type="dxa"/>
            <w:shd w:val="clear" w:color="auto" w:fill="F2F6FA"/>
            <w:tcMar>
              <w:top w:w="90" w:type="dxa"/>
              <w:left w:w="110" w:type="dxa"/>
              <w:bottom w:w="90" w:type="dxa"/>
              <w:right w:w="110" w:type="dxa"/>
            </w:tcMar>
            <w:vAlign w:val="center"/>
          </w:tcPr>
          <w:p w14:paraId="4FAE106B"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Accident risk prediction</w:t>
            </w:r>
          </w:p>
        </w:tc>
        <w:tc>
          <w:tcPr>
            <w:tcW w:w="3550" w:type="dxa"/>
            <w:shd w:val="clear" w:color="auto" w:fill="F2F6FA"/>
            <w:tcMar>
              <w:top w:w="90" w:type="dxa"/>
              <w:left w:w="110" w:type="dxa"/>
              <w:bottom w:w="90" w:type="dxa"/>
              <w:right w:w="110" w:type="dxa"/>
            </w:tcMar>
            <w:vAlign w:val="center"/>
          </w:tcPr>
          <w:p w14:paraId="63B8BED9"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Safe iteration on predictive models with accuracy validation gates</w:t>
            </w:r>
          </w:p>
        </w:tc>
        <w:tc>
          <w:tcPr>
            <w:tcW w:w="3350" w:type="dxa"/>
            <w:shd w:val="clear" w:color="auto" w:fill="F2F6FA"/>
            <w:tcMar>
              <w:top w:w="90" w:type="dxa"/>
              <w:left w:w="110" w:type="dxa"/>
              <w:bottom w:w="90" w:type="dxa"/>
              <w:right w:w="110" w:type="dxa"/>
            </w:tcMar>
            <w:vAlign w:val="center"/>
          </w:tcPr>
          <w:p w14:paraId="417E6CD7"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Automated data/model validation stage, quality gate on model accuracy</w:t>
            </w:r>
          </w:p>
        </w:tc>
      </w:tr>
      <w:tr w:rsidR="003D3097" w:rsidRPr="003E7B33" w14:paraId="3DC2D4EA" w14:textId="77777777">
        <w:tblPrEx>
          <w:tblCellMar>
            <w:top w:w="0" w:type="dxa"/>
            <w:bottom w:w="0" w:type="dxa"/>
          </w:tblCellMar>
        </w:tblPrEx>
        <w:tc>
          <w:tcPr>
            <w:tcW w:w="2500" w:type="dxa"/>
            <w:shd w:val="clear" w:color="auto" w:fill="FFFFFF"/>
            <w:tcMar>
              <w:top w:w="90" w:type="dxa"/>
              <w:left w:w="110" w:type="dxa"/>
              <w:bottom w:w="90" w:type="dxa"/>
              <w:right w:w="110" w:type="dxa"/>
            </w:tcMar>
            <w:vAlign w:val="center"/>
          </w:tcPr>
          <w:p w14:paraId="7EB3AA00"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Heavy equipment movement monitoring</w:t>
            </w:r>
          </w:p>
        </w:tc>
        <w:tc>
          <w:tcPr>
            <w:tcW w:w="3550" w:type="dxa"/>
            <w:shd w:val="clear" w:color="auto" w:fill="FFFFFF"/>
            <w:tcMar>
              <w:top w:w="90" w:type="dxa"/>
              <w:left w:w="110" w:type="dxa"/>
              <w:bottom w:w="90" w:type="dxa"/>
              <w:right w:w="110" w:type="dxa"/>
            </w:tcMar>
            <w:vAlign w:val="center"/>
          </w:tcPr>
          <w:p w14:paraId="4D8DB910"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Integration with third-party telematics APIs, needing contract/integration tests</w:t>
            </w:r>
          </w:p>
        </w:tc>
        <w:tc>
          <w:tcPr>
            <w:tcW w:w="3350" w:type="dxa"/>
            <w:shd w:val="clear" w:color="auto" w:fill="FFFFFF"/>
            <w:tcMar>
              <w:top w:w="90" w:type="dxa"/>
              <w:left w:w="110" w:type="dxa"/>
              <w:bottom w:w="90" w:type="dxa"/>
              <w:right w:w="110" w:type="dxa"/>
            </w:tcMar>
            <w:vAlign w:val="center"/>
          </w:tcPr>
          <w:p w14:paraId="5101666A"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Dedicated integration test suite + mock IoT simulators in CI</w:t>
            </w:r>
          </w:p>
        </w:tc>
      </w:tr>
      <w:tr w:rsidR="003D3097" w:rsidRPr="003E7B33" w14:paraId="6201AF20" w14:textId="77777777">
        <w:tblPrEx>
          <w:tblCellMar>
            <w:top w:w="0" w:type="dxa"/>
            <w:bottom w:w="0" w:type="dxa"/>
          </w:tblCellMar>
        </w:tblPrEx>
        <w:tc>
          <w:tcPr>
            <w:tcW w:w="2500" w:type="dxa"/>
            <w:shd w:val="clear" w:color="auto" w:fill="F2F6FA"/>
            <w:tcMar>
              <w:top w:w="90" w:type="dxa"/>
              <w:left w:w="110" w:type="dxa"/>
              <w:bottom w:w="90" w:type="dxa"/>
              <w:right w:w="110" w:type="dxa"/>
            </w:tcMar>
            <w:vAlign w:val="center"/>
          </w:tcPr>
          <w:p w14:paraId="766ED7C4"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Immediate supervisor notifications</w:t>
            </w:r>
          </w:p>
        </w:tc>
        <w:tc>
          <w:tcPr>
            <w:tcW w:w="3550" w:type="dxa"/>
            <w:shd w:val="clear" w:color="auto" w:fill="F2F6FA"/>
            <w:tcMar>
              <w:top w:w="90" w:type="dxa"/>
              <w:left w:w="110" w:type="dxa"/>
              <w:bottom w:w="90" w:type="dxa"/>
              <w:right w:w="110" w:type="dxa"/>
            </w:tcMar>
            <w:vAlign w:val="center"/>
          </w:tcPr>
          <w:p w14:paraId="15587457"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Notification service must have very high reliability; needs load &amp; failover testing</w:t>
            </w:r>
          </w:p>
        </w:tc>
        <w:tc>
          <w:tcPr>
            <w:tcW w:w="3350" w:type="dxa"/>
            <w:shd w:val="clear" w:color="auto" w:fill="F2F6FA"/>
            <w:tcMar>
              <w:top w:w="90" w:type="dxa"/>
              <w:left w:w="110" w:type="dxa"/>
              <w:bottom w:w="90" w:type="dxa"/>
              <w:right w:w="110" w:type="dxa"/>
            </w:tcMar>
            <w:vAlign w:val="center"/>
          </w:tcPr>
          <w:p w14:paraId="7D73E413"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Load testing, chaos/failure testing, blue-green with automated rollback</w:t>
            </w:r>
          </w:p>
        </w:tc>
      </w:tr>
      <w:tr w:rsidR="003D3097" w:rsidRPr="003E7B33" w14:paraId="42CD95DA" w14:textId="77777777">
        <w:tblPrEx>
          <w:tblCellMar>
            <w:top w:w="0" w:type="dxa"/>
            <w:bottom w:w="0" w:type="dxa"/>
          </w:tblCellMar>
        </w:tblPrEx>
        <w:tc>
          <w:tcPr>
            <w:tcW w:w="2500" w:type="dxa"/>
            <w:shd w:val="clear" w:color="auto" w:fill="FFFFFF"/>
            <w:tcMar>
              <w:top w:w="90" w:type="dxa"/>
              <w:left w:w="110" w:type="dxa"/>
              <w:bottom w:w="90" w:type="dxa"/>
              <w:right w:w="110" w:type="dxa"/>
            </w:tcMar>
            <w:vAlign w:val="center"/>
          </w:tcPr>
          <w:p w14:paraId="75A85323"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Compliance report generation</w:t>
            </w:r>
          </w:p>
        </w:tc>
        <w:tc>
          <w:tcPr>
            <w:tcW w:w="3550" w:type="dxa"/>
            <w:shd w:val="clear" w:color="auto" w:fill="FFFFFF"/>
            <w:tcMar>
              <w:top w:w="90" w:type="dxa"/>
              <w:left w:w="110" w:type="dxa"/>
              <w:bottom w:w="90" w:type="dxa"/>
              <w:right w:w="110" w:type="dxa"/>
            </w:tcMar>
            <w:vAlign w:val="center"/>
          </w:tcPr>
          <w:p w14:paraId="558A50DC"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Report logic changes must be auditable and regression-tested</w:t>
            </w:r>
          </w:p>
        </w:tc>
        <w:tc>
          <w:tcPr>
            <w:tcW w:w="3350" w:type="dxa"/>
            <w:shd w:val="clear" w:color="auto" w:fill="FFFFFF"/>
            <w:tcMar>
              <w:top w:w="90" w:type="dxa"/>
              <w:left w:w="110" w:type="dxa"/>
              <w:bottom w:w="90" w:type="dxa"/>
              <w:right w:w="110" w:type="dxa"/>
            </w:tcMar>
            <w:vAlign w:val="center"/>
          </w:tcPr>
          <w:p w14:paraId="364CFE89"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Regression test suite + code review gate + audit logging in pipeline</w:t>
            </w:r>
          </w:p>
        </w:tc>
      </w:tr>
      <w:tr w:rsidR="003D3097" w:rsidRPr="003E7B33" w14:paraId="2742869B" w14:textId="77777777">
        <w:tblPrEx>
          <w:tblCellMar>
            <w:top w:w="0" w:type="dxa"/>
            <w:bottom w:w="0" w:type="dxa"/>
          </w:tblCellMar>
        </w:tblPrEx>
        <w:tc>
          <w:tcPr>
            <w:tcW w:w="2500" w:type="dxa"/>
            <w:shd w:val="clear" w:color="auto" w:fill="F2F6FA"/>
            <w:tcMar>
              <w:top w:w="90" w:type="dxa"/>
              <w:left w:w="110" w:type="dxa"/>
              <w:bottom w:w="90" w:type="dxa"/>
              <w:right w:w="110" w:type="dxa"/>
            </w:tcMar>
            <w:vAlign w:val="center"/>
          </w:tcPr>
          <w:p w14:paraId="63FA9BFE"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Multi-project, secure, scalable architecture</w:t>
            </w:r>
          </w:p>
        </w:tc>
        <w:tc>
          <w:tcPr>
            <w:tcW w:w="3550" w:type="dxa"/>
            <w:shd w:val="clear" w:color="auto" w:fill="F2F6FA"/>
            <w:tcMar>
              <w:top w:w="90" w:type="dxa"/>
              <w:left w:w="110" w:type="dxa"/>
              <w:bottom w:w="90" w:type="dxa"/>
              <w:right w:w="110" w:type="dxa"/>
            </w:tcMar>
            <w:vAlign w:val="center"/>
          </w:tcPr>
          <w:p w14:paraId="203F4A46"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Independent CI/CD per microservice; strong access control and secrets management</w:t>
            </w:r>
          </w:p>
        </w:tc>
        <w:tc>
          <w:tcPr>
            <w:tcW w:w="3350" w:type="dxa"/>
            <w:shd w:val="clear" w:color="auto" w:fill="F2F6FA"/>
            <w:tcMar>
              <w:top w:w="90" w:type="dxa"/>
              <w:left w:w="110" w:type="dxa"/>
              <w:bottom w:w="90" w:type="dxa"/>
              <w:right w:w="110" w:type="dxa"/>
            </w:tcMar>
            <w:vAlign w:val="center"/>
          </w:tcPr>
          <w:p w14:paraId="37112198"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Microservice-based pipelines, containerization, secrets vault, RBAC on pipeline</w:t>
            </w:r>
          </w:p>
        </w:tc>
      </w:tr>
    </w:tbl>
    <w:p w14:paraId="3E32BF9A" w14:textId="77777777" w:rsidR="003D3097" w:rsidRPr="003E7B33" w:rsidRDefault="00000000">
      <w:pPr>
        <w:spacing w:before="100" w:after="260"/>
        <w:jc w:val="center"/>
        <w:rPr>
          <w:rFonts w:ascii="Times New Roman" w:hAnsi="Times New Roman" w:cs="Times New Roman"/>
          <w:sz w:val="24"/>
          <w:szCs w:val="24"/>
        </w:rPr>
      </w:pPr>
      <w:r w:rsidRPr="003E7B33">
        <w:rPr>
          <w:rFonts w:ascii="Times New Roman" w:hAnsi="Times New Roman" w:cs="Times New Roman"/>
          <w:i/>
          <w:iCs/>
          <w:color w:val="595959"/>
          <w:sz w:val="24"/>
          <w:szCs w:val="24"/>
        </w:rPr>
        <w:t>Table 1: Mapping of platform objectives to CI/CD pipeline requirements</w:t>
      </w:r>
    </w:p>
    <w:p w14:paraId="3BED41E0"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2.2 Key CI/CD Needs Identified</w:t>
      </w:r>
    </w:p>
    <w:p w14:paraId="1804FA6E"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Independent, service-level pipelines — </w:t>
      </w:r>
      <w:r w:rsidRPr="003E7B33">
        <w:rPr>
          <w:rFonts w:ascii="Times New Roman" w:hAnsi="Times New Roman" w:cs="Times New Roman"/>
          <w:sz w:val="24"/>
          <w:szCs w:val="24"/>
        </w:rPr>
        <w:t>Each microservice (video-ingestion, AI-inference, IoT-processor, notification, reporting, dashboard/API) needs its own build, test, and deploy pipeline triggered independently.</w:t>
      </w:r>
    </w:p>
    <w:p w14:paraId="12080F74"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lastRenderedPageBreak/>
        <w:t xml:space="preserve">Strong quality and safety gates — </w:t>
      </w:r>
      <w:r w:rsidRPr="003E7B33">
        <w:rPr>
          <w:rFonts w:ascii="Times New Roman" w:hAnsi="Times New Roman" w:cs="Times New Roman"/>
          <w:sz w:val="24"/>
          <w:szCs w:val="24"/>
        </w:rPr>
        <w:t>Because unsafe code changes can directly harm workers, the pipeline must enforce automated testing, code quality, and security gates before any production deployment — no direct-to-production pushes are permitted.</w:t>
      </w:r>
    </w:p>
    <w:p w14:paraId="5A457F2D"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Model/version governance for AI components — </w:t>
      </w:r>
      <w:r w:rsidRPr="003E7B33">
        <w:rPr>
          <w:rFonts w:ascii="Times New Roman" w:hAnsi="Times New Roman" w:cs="Times New Roman"/>
          <w:sz w:val="24"/>
          <w:szCs w:val="24"/>
        </w:rPr>
        <w:t>AI/ML model updates (e.g., a retrained PPE-detection model) must be versioned, benchmarked for accuracy/precision-recall, and released using canary or shadow deployment before full rollout.</w:t>
      </w:r>
    </w:p>
    <w:p w14:paraId="372CB75E"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Containerized, environment-agnostic deployment — </w:t>
      </w:r>
      <w:r w:rsidRPr="003E7B33">
        <w:rPr>
          <w:rFonts w:ascii="Times New Roman" w:hAnsi="Times New Roman" w:cs="Times New Roman"/>
          <w:sz w:val="24"/>
          <w:szCs w:val="24"/>
        </w:rPr>
        <w:t>The system must run identically across many construction sites; containerization and infrastructure-as-code ensure reproducible environments and horizontal scalability.</w:t>
      </w:r>
    </w:p>
    <w:p w14:paraId="498358B4"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Security and data-privacy enforcement — </w:t>
      </w:r>
      <w:r w:rsidRPr="003E7B33">
        <w:rPr>
          <w:rFonts w:ascii="Times New Roman" w:hAnsi="Times New Roman" w:cs="Times New Roman"/>
          <w:sz w:val="24"/>
          <w:szCs w:val="24"/>
        </w:rPr>
        <w:t>Worker video, biometric wearables, and location data are sensitive; the pipeline must include secret management, static/dynamic security scanning, and encrypted artifact storage.</w:t>
      </w:r>
    </w:p>
    <w:p w14:paraId="4EEEDD23"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Fast feedback and automated rollback — </w:t>
      </w:r>
      <w:r w:rsidRPr="003E7B33">
        <w:rPr>
          <w:rFonts w:ascii="Times New Roman" w:hAnsi="Times New Roman" w:cs="Times New Roman"/>
          <w:sz w:val="24"/>
          <w:szCs w:val="24"/>
        </w:rPr>
        <w:t>A failed deployment or faulty model must be detected and reverted automatically within minutes to avoid any lapse in safety monitoring.</w:t>
      </w:r>
    </w:p>
    <w:p w14:paraId="3CA66932"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Real-time notifications — </w:t>
      </w:r>
      <w:r w:rsidRPr="003E7B33">
        <w:rPr>
          <w:rFonts w:ascii="Times New Roman" w:hAnsi="Times New Roman" w:cs="Times New Roman"/>
          <w:sz w:val="24"/>
          <w:szCs w:val="24"/>
        </w:rPr>
        <w:t>Supervisors, DevOps engineers, and safety officers must be notified immediately of pipeline failures, security findings, or production incidents.</w:t>
      </w:r>
    </w:p>
    <w:p w14:paraId="571E8911" w14:textId="77777777" w:rsidR="003D3097" w:rsidRPr="003E7B33" w:rsidRDefault="00000000">
      <w:pPr>
        <w:pStyle w:val="Heading1"/>
        <w:rPr>
          <w:rFonts w:ascii="Times New Roman" w:hAnsi="Times New Roman" w:cs="Times New Roman"/>
          <w:sz w:val="24"/>
          <w:szCs w:val="24"/>
        </w:rPr>
      </w:pPr>
      <w:r w:rsidRPr="003E7B33">
        <w:rPr>
          <w:rFonts w:ascii="Times New Roman" w:hAnsi="Times New Roman" w:cs="Times New Roman"/>
          <w:sz w:val="24"/>
          <w:szCs w:val="24"/>
        </w:rPr>
        <w:t>3. CI/CD Pipeline Architecture and Workflow</w:t>
      </w:r>
    </w:p>
    <w:p w14:paraId="497D2C37"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The pipeline follows a standard, industry-proven CI/CD flow, extended with AI-model-validation and IoT-integration checkpoints specific to this platform. The diagram below shows the complete flow from source-code commit through to a monitored production release, including the automated rollback loop.</w:t>
      </w:r>
    </w:p>
    <w:p w14:paraId="6216080E" w14:textId="77777777" w:rsidR="003D3097" w:rsidRPr="003E7B33" w:rsidRDefault="00000000">
      <w:pPr>
        <w:spacing w:before="160" w:after="60"/>
        <w:jc w:val="center"/>
        <w:rPr>
          <w:rFonts w:ascii="Times New Roman" w:hAnsi="Times New Roman" w:cs="Times New Roman"/>
          <w:sz w:val="24"/>
          <w:szCs w:val="24"/>
        </w:rPr>
      </w:pPr>
      <w:r w:rsidRPr="003E7B33">
        <w:rPr>
          <w:rFonts w:ascii="Times New Roman" w:hAnsi="Times New Roman" w:cs="Times New Roman"/>
          <w:noProof/>
          <w:sz w:val="24"/>
          <w:szCs w:val="24"/>
        </w:rPr>
        <w:drawing>
          <wp:inline distT="0" distB="0" distL="0" distR="0" wp14:anchorId="3ED34D89" wp14:editId="4B525C7B">
            <wp:extent cx="5905500" cy="1000125"/>
            <wp:effectExtent l="0" t="0" r="0" b="0"/>
            <wp:docPr id="1" name="CI/CD Pipeline Architecture Diagram" descr="CI/CD Pipeline Architecture Diagram" title="CI/CD Pipelin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000125"/>
                    </a:xfrm>
                    <a:prstGeom prst="rect">
                      <a:avLst/>
                    </a:prstGeom>
                  </pic:spPr>
                </pic:pic>
              </a:graphicData>
            </a:graphic>
          </wp:inline>
        </w:drawing>
      </w:r>
    </w:p>
    <w:p w14:paraId="023FE545" w14:textId="77777777" w:rsidR="003D3097" w:rsidRPr="003E7B33" w:rsidRDefault="00000000">
      <w:pPr>
        <w:spacing w:before="100" w:after="260"/>
        <w:jc w:val="center"/>
        <w:rPr>
          <w:rFonts w:ascii="Times New Roman" w:hAnsi="Times New Roman" w:cs="Times New Roman"/>
          <w:sz w:val="24"/>
          <w:szCs w:val="24"/>
        </w:rPr>
      </w:pPr>
      <w:r w:rsidRPr="003E7B33">
        <w:rPr>
          <w:rFonts w:ascii="Times New Roman" w:hAnsi="Times New Roman" w:cs="Times New Roman"/>
          <w:i/>
          <w:iCs/>
          <w:color w:val="595959"/>
          <w:sz w:val="24"/>
          <w:szCs w:val="24"/>
        </w:rPr>
        <w:t>Figure 1: End-to-end CI/CD pipeline architecture for the Construction Site Safety Monitoring Platform</w:t>
      </w:r>
    </w:p>
    <w:p w14:paraId="684B35EC"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3.1 Pipeline Stage Overview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5400"/>
      </w:tblGrid>
      <w:tr w:rsidR="003D3097" w:rsidRPr="003E7B33" w14:paraId="16E6BBF1" w14:textId="77777777">
        <w:tblPrEx>
          <w:tblCellMar>
            <w:top w:w="0" w:type="dxa"/>
            <w:bottom w:w="0" w:type="dxa"/>
          </w:tblCellMar>
        </w:tblPrEx>
        <w:trPr>
          <w:tblHeader/>
        </w:trPr>
        <w:tc>
          <w:tcPr>
            <w:tcW w:w="700" w:type="dxa"/>
            <w:shd w:val="clear" w:color="auto" w:fill="1F4E79"/>
            <w:tcMar>
              <w:top w:w="90" w:type="dxa"/>
              <w:left w:w="110" w:type="dxa"/>
              <w:bottom w:w="90" w:type="dxa"/>
              <w:right w:w="110" w:type="dxa"/>
            </w:tcMar>
            <w:vAlign w:val="center"/>
          </w:tcPr>
          <w:p w14:paraId="28607EDF"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w:t>
            </w:r>
          </w:p>
        </w:tc>
        <w:tc>
          <w:tcPr>
            <w:tcW w:w="3300" w:type="dxa"/>
            <w:shd w:val="clear" w:color="auto" w:fill="1F4E79"/>
            <w:tcMar>
              <w:top w:w="90" w:type="dxa"/>
              <w:left w:w="110" w:type="dxa"/>
              <w:bottom w:w="90" w:type="dxa"/>
              <w:right w:w="110" w:type="dxa"/>
            </w:tcMar>
            <w:vAlign w:val="center"/>
          </w:tcPr>
          <w:p w14:paraId="18EFFD37"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Stage</w:t>
            </w:r>
          </w:p>
        </w:tc>
        <w:tc>
          <w:tcPr>
            <w:tcW w:w="5400" w:type="dxa"/>
            <w:shd w:val="clear" w:color="auto" w:fill="1F4E79"/>
            <w:tcMar>
              <w:top w:w="90" w:type="dxa"/>
              <w:left w:w="110" w:type="dxa"/>
              <w:bottom w:w="90" w:type="dxa"/>
              <w:right w:w="110" w:type="dxa"/>
            </w:tcMar>
            <w:vAlign w:val="center"/>
          </w:tcPr>
          <w:p w14:paraId="49D1F667"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Primary Purpose</w:t>
            </w:r>
          </w:p>
        </w:tc>
      </w:tr>
      <w:tr w:rsidR="003D3097" w:rsidRPr="003E7B33" w14:paraId="7E969B6C" w14:textId="77777777">
        <w:tblPrEx>
          <w:tblCellMar>
            <w:top w:w="0" w:type="dxa"/>
            <w:bottom w:w="0" w:type="dxa"/>
          </w:tblCellMar>
        </w:tblPrEx>
        <w:tc>
          <w:tcPr>
            <w:tcW w:w="700" w:type="dxa"/>
            <w:shd w:val="clear" w:color="auto" w:fill="FFFFFF"/>
            <w:tcMar>
              <w:top w:w="90" w:type="dxa"/>
              <w:left w:w="110" w:type="dxa"/>
              <w:bottom w:w="90" w:type="dxa"/>
              <w:right w:w="110" w:type="dxa"/>
            </w:tcMar>
            <w:vAlign w:val="center"/>
          </w:tcPr>
          <w:p w14:paraId="2CC4BCF5"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1</w:t>
            </w:r>
          </w:p>
        </w:tc>
        <w:tc>
          <w:tcPr>
            <w:tcW w:w="3300" w:type="dxa"/>
            <w:shd w:val="clear" w:color="auto" w:fill="FFFFFF"/>
            <w:tcMar>
              <w:top w:w="90" w:type="dxa"/>
              <w:left w:w="110" w:type="dxa"/>
              <w:bottom w:w="90" w:type="dxa"/>
              <w:right w:w="110" w:type="dxa"/>
            </w:tcMar>
            <w:vAlign w:val="center"/>
          </w:tcPr>
          <w:p w14:paraId="1291C385"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Source Code Management (SCM)</w:t>
            </w:r>
          </w:p>
        </w:tc>
        <w:tc>
          <w:tcPr>
            <w:tcW w:w="5400" w:type="dxa"/>
            <w:shd w:val="clear" w:color="auto" w:fill="FFFFFF"/>
            <w:tcMar>
              <w:top w:w="90" w:type="dxa"/>
              <w:left w:w="110" w:type="dxa"/>
              <w:bottom w:w="90" w:type="dxa"/>
              <w:right w:w="110" w:type="dxa"/>
            </w:tcMar>
            <w:vAlign w:val="center"/>
          </w:tcPr>
          <w:p w14:paraId="7D0687D9"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Version control, branching strategy, pull-request review, and merge triggers</w:t>
            </w:r>
          </w:p>
        </w:tc>
      </w:tr>
      <w:tr w:rsidR="003D3097" w:rsidRPr="003E7B33" w14:paraId="4BE8FF2C" w14:textId="77777777">
        <w:tblPrEx>
          <w:tblCellMar>
            <w:top w:w="0" w:type="dxa"/>
            <w:bottom w:w="0" w:type="dxa"/>
          </w:tblCellMar>
        </w:tblPrEx>
        <w:tc>
          <w:tcPr>
            <w:tcW w:w="700" w:type="dxa"/>
            <w:shd w:val="clear" w:color="auto" w:fill="F2F6FA"/>
            <w:tcMar>
              <w:top w:w="90" w:type="dxa"/>
              <w:left w:w="110" w:type="dxa"/>
              <w:bottom w:w="90" w:type="dxa"/>
              <w:right w:w="110" w:type="dxa"/>
            </w:tcMar>
            <w:vAlign w:val="center"/>
          </w:tcPr>
          <w:p w14:paraId="72D5675B"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2</w:t>
            </w:r>
          </w:p>
        </w:tc>
        <w:tc>
          <w:tcPr>
            <w:tcW w:w="3300" w:type="dxa"/>
            <w:shd w:val="clear" w:color="auto" w:fill="F2F6FA"/>
            <w:tcMar>
              <w:top w:w="90" w:type="dxa"/>
              <w:left w:w="110" w:type="dxa"/>
              <w:bottom w:w="90" w:type="dxa"/>
              <w:right w:w="110" w:type="dxa"/>
            </w:tcMar>
            <w:vAlign w:val="center"/>
          </w:tcPr>
          <w:p w14:paraId="7FEB0843"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Build</w:t>
            </w:r>
          </w:p>
        </w:tc>
        <w:tc>
          <w:tcPr>
            <w:tcW w:w="5400" w:type="dxa"/>
            <w:shd w:val="clear" w:color="auto" w:fill="F2F6FA"/>
            <w:tcMar>
              <w:top w:w="90" w:type="dxa"/>
              <w:left w:w="110" w:type="dxa"/>
              <w:bottom w:w="90" w:type="dxa"/>
              <w:right w:w="110" w:type="dxa"/>
            </w:tcMar>
            <w:vAlign w:val="center"/>
          </w:tcPr>
          <w:p w14:paraId="76A8FC6E"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Compile/transpile code, resolve dependencies, build Docker images per microservice</w:t>
            </w:r>
          </w:p>
        </w:tc>
      </w:tr>
      <w:tr w:rsidR="003D3097" w:rsidRPr="003E7B33" w14:paraId="4E043AE9" w14:textId="77777777">
        <w:tblPrEx>
          <w:tblCellMar>
            <w:top w:w="0" w:type="dxa"/>
            <w:bottom w:w="0" w:type="dxa"/>
          </w:tblCellMar>
        </w:tblPrEx>
        <w:tc>
          <w:tcPr>
            <w:tcW w:w="700" w:type="dxa"/>
            <w:shd w:val="clear" w:color="auto" w:fill="FFFFFF"/>
            <w:tcMar>
              <w:top w:w="90" w:type="dxa"/>
              <w:left w:w="110" w:type="dxa"/>
              <w:bottom w:w="90" w:type="dxa"/>
              <w:right w:w="110" w:type="dxa"/>
            </w:tcMar>
            <w:vAlign w:val="center"/>
          </w:tcPr>
          <w:p w14:paraId="44921486"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3</w:t>
            </w:r>
          </w:p>
        </w:tc>
        <w:tc>
          <w:tcPr>
            <w:tcW w:w="3300" w:type="dxa"/>
            <w:shd w:val="clear" w:color="auto" w:fill="FFFFFF"/>
            <w:tcMar>
              <w:top w:w="90" w:type="dxa"/>
              <w:left w:w="110" w:type="dxa"/>
              <w:bottom w:w="90" w:type="dxa"/>
              <w:right w:w="110" w:type="dxa"/>
            </w:tcMar>
            <w:vAlign w:val="center"/>
          </w:tcPr>
          <w:p w14:paraId="332A34D8"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Automated Testing</w:t>
            </w:r>
          </w:p>
        </w:tc>
        <w:tc>
          <w:tcPr>
            <w:tcW w:w="5400" w:type="dxa"/>
            <w:shd w:val="clear" w:color="auto" w:fill="FFFFFF"/>
            <w:tcMar>
              <w:top w:w="90" w:type="dxa"/>
              <w:left w:w="110" w:type="dxa"/>
              <w:bottom w:w="90" w:type="dxa"/>
              <w:right w:w="110" w:type="dxa"/>
            </w:tcMar>
            <w:vAlign w:val="center"/>
          </w:tcPr>
          <w:p w14:paraId="753A05FA"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Unit, integration, contract, and end-to-end tests including AI-model validation</w:t>
            </w:r>
          </w:p>
        </w:tc>
      </w:tr>
      <w:tr w:rsidR="003D3097" w:rsidRPr="003E7B33" w14:paraId="169A4C06" w14:textId="77777777">
        <w:tblPrEx>
          <w:tblCellMar>
            <w:top w:w="0" w:type="dxa"/>
            <w:bottom w:w="0" w:type="dxa"/>
          </w:tblCellMar>
        </w:tblPrEx>
        <w:tc>
          <w:tcPr>
            <w:tcW w:w="700" w:type="dxa"/>
            <w:shd w:val="clear" w:color="auto" w:fill="F2F6FA"/>
            <w:tcMar>
              <w:top w:w="90" w:type="dxa"/>
              <w:left w:w="110" w:type="dxa"/>
              <w:bottom w:w="90" w:type="dxa"/>
              <w:right w:w="110" w:type="dxa"/>
            </w:tcMar>
            <w:vAlign w:val="center"/>
          </w:tcPr>
          <w:p w14:paraId="1354D67D"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lastRenderedPageBreak/>
              <w:t>4</w:t>
            </w:r>
          </w:p>
        </w:tc>
        <w:tc>
          <w:tcPr>
            <w:tcW w:w="3300" w:type="dxa"/>
            <w:shd w:val="clear" w:color="auto" w:fill="F2F6FA"/>
            <w:tcMar>
              <w:top w:w="90" w:type="dxa"/>
              <w:left w:w="110" w:type="dxa"/>
              <w:bottom w:w="90" w:type="dxa"/>
              <w:right w:w="110" w:type="dxa"/>
            </w:tcMar>
            <w:vAlign w:val="center"/>
          </w:tcPr>
          <w:p w14:paraId="38B524B8"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Code Quality Analysis</w:t>
            </w:r>
          </w:p>
        </w:tc>
        <w:tc>
          <w:tcPr>
            <w:tcW w:w="5400" w:type="dxa"/>
            <w:shd w:val="clear" w:color="auto" w:fill="F2F6FA"/>
            <w:tcMar>
              <w:top w:w="90" w:type="dxa"/>
              <w:left w:w="110" w:type="dxa"/>
              <w:bottom w:w="90" w:type="dxa"/>
              <w:right w:w="110" w:type="dxa"/>
            </w:tcMar>
            <w:vAlign w:val="center"/>
          </w:tcPr>
          <w:p w14:paraId="184E803C"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Static analysis, linting, code-coverage and maintainability checks</w:t>
            </w:r>
          </w:p>
        </w:tc>
      </w:tr>
      <w:tr w:rsidR="003D3097" w:rsidRPr="003E7B33" w14:paraId="38160994" w14:textId="77777777">
        <w:tblPrEx>
          <w:tblCellMar>
            <w:top w:w="0" w:type="dxa"/>
            <w:bottom w:w="0" w:type="dxa"/>
          </w:tblCellMar>
        </w:tblPrEx>
        <w:tc>
          <w:tcPr>
            <w:tcW w:w="700" w:type="dxa"/>
            <w:shd w:val="clear" w:color="auto" w:fill="FFFFFF"/>
            <w:tcMar>
              <w:top w:w="90" w:type="dxa"/>
              <w:left w:w="110" w:type="dxa"/>
              <w:bottom w:w="90" w:type="dxa"/>
              <w:right w:w="110" w:type="dxa"/>
            </w:tcMar>
            <w:vAlign w:val="center"/>
          </w:tcPr>
          <w:p w14:paraId="38634DE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5</w:t>
            </w:r>
          </w:p>
        </w:tc>
        <w:tc>
          <w:tcPr>
            <w:tcW w:w="3300" w:type="dxa"/>
            <w:shd w:val="clear" w:color="auto" w:fill="FFFFFF"/>
            <w:tcMar>
              <w:top w:w="90" w:type="dxa"/>
              <w:left w:w="110" w:type="dxa"/>
              <w:bottom w:w="90" w:type="dxa"/>
              <w:right w:w="110" w:type="dxa"/>
            </w:tcMar>
            <w:vAlign w:val="center"/>
          </w:tcPr>
          <w:p w14:paraId="54B195CD"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Security Scanning</w:t>
            </w:r>
          </w:p>
        </w:tc>
        <w:tc>
          <w:tcPr>
            <w:tcW w:w="5400" w:type="dxa"/>
            <w:shd w:val="clear" w:color="auto" w:fill="FFFFFF"/>
            <w:tcMar>
              <w:top w:w="90" w:type="dxa"/>
              <w:left w:w="110" w:type="dxa"/>
              <w:bottom w:w="90" w:type="dxa"/>
              <w:right w:w="110" w:type="dxa"/>
            </w:tcMar>
            <w:vAlign w:val="center"/>
          </w:tcPr>
          <w:p w14:paraId="3BCCBA5B"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SAST, dependency/container vulnerability scanning, secrets detection, DAST</w:t>
            </w:r>
          </w:p>
        </w:tc>
      </w:tr>
      <w:tr w:rsidR="003D3097" w:rsidRPr="003E7B33" w14:paraId="53794746" w14:textId="77777777">
        <w:tblPrEx>
          <w:tblCellMar>
            <w:top w:w="0" w:type="dxa"/>
            <w:bottom w:w="0" w:type="dxa"/>
          </w:tblCellMar>
        </w:tblPrEx>
        <w:tc>
          <w:tcPr>
            <w:tcW w:w="700" w:type="dxa"/>
            <w:shd w:val="clear" w:color="auto" w:fill="F2F6FA"/>
            <w:tcMar>
              <w:top w:w="90" w:type="dxa"/>
              <w:left w:w="110" w:type="dxa"/>
              <w:bottom w:w="90" w:type="dxa"/>
              <w:right w:w="110" w:type="dxa"/>
            </w:tcMar>
            <w:vAlign w:val="center"/>
          </w:tcPr>
          <w:p w14:paraId="407A4869"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6</w:t>
            </w:r>
          </w:p>
        </w:tc>
        <w:tc>
          <w:tcPr>
            <w:tcW w:w="3300" w:type="dxa"/>
            <w:shd w:val="clear" w:color="auto" w:fill="F2F6FA"/>
            <w:tcMar>
              <w:top w:w="90" w:type="dxa"/>
              <w:left w:w="110" w:type="dxa"/>
              <w:bottom w:w="90" w:type="dxa"/>
              <w:right w:w="110" w:type="dxa"/>
            </w:tcMar>
            <w:vAlign w:val="center"/>
          </w:tcPr>
          <w:p w14:paraId="2E38AF39"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Packaging</w:t>
            </w:r>
          </w:p>
        </w:tc>
        <w:tc>
          <w:tcPr>
            <w:tcW w:w="5400" w:type="dxa"/>
            <w:shd w:val="clear" w:color="auto" w:fill="F2F6FA"/>
            <w:tcMar>
              <w:top w:w="90" w:type="dxa"/>
              <w:left w:w="110" w:type="dxa"/>
              <w:bottom w:w="90" w:type="dxa"/>
              <w:right w:w="110" w:type="dxa"/>
            </w:tcMar>
            <w:vAlign w:val="center"/>
          </w:tcPr>
          <w:p w14:paraId="4FA6F7B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Immutable, versioned container images pushed to a private registry</w:t>
            </w:r>
          </w:p>
        </w:tc>
      </w:tr>
      <w:tr w:rsidR="003D3097" w:rsidRPr="003E7B33" w14:paraId="16B4373F" w14:textId="77777777">
        <w:tblPrEx>
          <w:tblCellMar>
            <w:top w:w="0" w:type="dxa"/>
            <w:bottom w:w="0" w:type="dxa"/>
          </w:tblCellMar>
        </w:tblPrEx>
        <w:tc>
          <w:tcPr>
            <w:tcW w:w="700" w:type="dxa"/>
            <w:shd w:val="clear" w:color="auto" w:fill="FFFFFF"/>
            <w:tcMar>
              <w:top w:w="90" w:type="dxa"/>
              <w:left w:w="110" w:type="dxa"/>
              <w:bottom w:w="90" w:type="dxa"/>
              <w:right w:w="110" w:type="dxa"/>
            </w:tcMar>
            <w:vAlign w:val="center"/>
          </w:tcPr>
          <w:p w14:paraId="6EB01993"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7</w:t>
            </w:r>
          </w:p>
        </w:tc>
        <w:tc>
          <w:tcPr>
            <w:tcW w:w="3300" w:type="dxa"/>
            <w:shd w:val="clear" w:color="auto" w:fill="FFFFFF"/>
            <w:tcMar>
              <w:top w:w="90" w:type="dxa"/>
              <w:left w:w="110" w:type="dxa"/>
              <w:bottom w:w="90" w:type="dxa"/>
              <w:right w:w="110" w:type="dxa"/>
            </w:tcMar>
            <w:vAlign w:val="center"/>
          </w:tcPr>
          <w:p w14:paraId="74D211BD"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Deployment</w:t>
            </w:r>
          </w:p>
        </w:tc>
        <w:tc>
          <w:tcPr>
            <w:tcW w:w="5400" w:type="dxa"/>
            <w:shd w:val="clear" w:color="auto" w:fill="FFFFFF"/>
            <w:tcMar>
              <w:top w:w="90" w:type="dxa"/>
              <w:left w:w="110" w:type="dxa"/>
              <w:bottom w:w="90" w:type="dxa"/>
              <w:right w:w="110" w:type="dxa"/>
            </w:tcMar>
            <w:vAlign w:val="center"/>
          </w:tcPr>
          <w:p w14:paraId="39FF6AE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Progressive rollout across Development → Staging → Production</w:t>
            </w:r>
          </w:p>
        </w:tc>
      </w:tr>
      <w:tr w:rsidR="003D3097" w:rsidRPr="003E7B33" w14:paraId="0CC94A2C" w14:textId="77777777">
        <w:tblPrEx>
          <w:tblCellMar>
            <w:top w:w="0" w:type="dxa"/>
            <w:bottom w:w="0" w:type="dxa"/>
          </w:tblCellMar>
        </w:tblPrEx>
        <w:tc>
          <w:tcPr>
            <w:tcW w:w="700" w:type="dxa"/>
            <w:shd w:val="clear" w:color="auto" w:fill="F2F6FA"/>
            <w:tcMar>
              <w:top w:w="90" w:type="dxa"/>
              <w:left w:w="110" w:type="dxa"/>
              <w:bottom w:w="90" w:type="dxa"/>
              <w:right w:w="110" w:type="dxa"/>
            </w:tcMar>
            <w:vAlign w:val="center"/>
          </w:tcPr>
          <w:p w14:paraId="1AB828E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8</w:t>
            </w:r>
          </w:p>
        </w:tc>
        <w:tc>
          <w:tcPr>
            <w:tcW w:w="3300" w:type="dxa"/>
            <w:shd w:val="clear" w:color="auto" w:fill="F2F6FA"/>
            <w:tcMar>
              <w:top w:w="90" w:type="dxa"/>
              <w:left w:w="110" w:type="dxa"/>
              <w:bottom w:w="90" w:type="dxa"/>
              <w:right w:w="110" w:type="dxa"/>
            </w:tcMar>
            <w:vAlign w:val="center"/>
          </w:tcPr>
          <w:p w14:paraId="26051409"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Monitoring &amp; Feedback</w:t>
            </w:r>
          </w:p>
        </w:tc>
        <w:tc>
          <w:tcPr>
            <w:tcW w:w="5400" w:type="dxa"/>
            <w:shd w:val="clear" w:color="auto" w:fill="F2F6FA"/>
            <w:tcMar>
              <w:top w:w="90" w:type="dxa"/>
              <w:left w:w="110" w:type="dxa"/>
              <w:bottom w:w="90" w:type="dxa"/>
              <w:right w:w="110" w:type="dxa"/>
            </w:tcMar>
            <w:vAlign w:val="center"/>
          </w:tcPr>
          <w:p w14:paraId="2BDE5E0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Health checks, metrics, logs, alerting, and automated rollback</w:t>
            </w:r>
          </w:p>
        </w:tc>
      </w:tr>
    </w:tbl>
    <w:p w14:paraId="212F2C7D" w14:textId="77777777" w:rsidR="003D3097" w:rsidRPr="003E7B33" w:rsidRDefault="00000000">
      <w:pPr>
        <w:spacing w:before="100" w:after="260"/>
        <w:jc w:val="center"/>
        <w:rPr>
          <w:rFonts w:ascii="Times New Roman" w:hAnsi="Times New Roman" w:cs="Times New Roman"/>
          <w:sz w:val="24"/>
          <w:szCs w:val="24"/>
        </w:rPr>
      </w:pPr>
      <w:r w:rsidRPr="003E7B33">
        <w:rPr>
          <w:rFonts w:ascii="Times New Roman" w:hAnsi="Times New Roman" w:cs="Times New Roman"/>
          <w:i/>
          <w:iCs/>
          <w:color w:val="595959"/>
          <w:sz w:val="24"/>
          <w:szCs w:val="24"/>
        </w:rPr>
        <w:t>Table 2: Summary of pipeline stages</w:t>
      </w:r>
    </w:p>
    <w:p w14:paraId="29CA7B39" w14:textId="77777777" w:rsidR="003D3097" w:rsidRPr="003E7B33" w:rsidRDefault="00000000">
      <w:pPr>
        <w:pStyle w:val="Heading1"/>
        <w:rPr>
          <w:rFonts w:ascii="Times New Roman" w:hAnsi="Times New Roman" w:cs="Times New Roman"/>
          <w:sz w:val="24"/>
          <w:szCs w:val="24"/>
        </w:rPr>
      </w:pPr>
      <w:r w:rsidRPr="003E7B33">
        <w:rPr>
          <w:rFonts w:ascii="Times New Roman" w:hAnsi="Times New Roman" w:cs="Times New Roman"/>
          <w:sz w:val="24"/>
          <w:szCs w:val="24"/>
        </w:rPr>
        <w:t>4. Tools and Technologies per Stage</w:t>
      </w:r>
    </w:p>
    <w:p w14:paraId="57E5FBF1"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Tool selection balances open-source maturity, native Kubernetes/cloud-native support, and the platform's specific need to safely manage AI model releases and sensitive IoT/video data. The table below lists the recommended tool(s) for every stage of the pipeline along with the justification for selection.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200"/>
        <w:gridCol w:w="4150"/>
      </w:tblGrid>
      <w:tr w:rsidR="003D3097" w:rsidRPr="003E7B33" w14:paraId="249E96C3" w14:textId="77777777">
        <w:tblPrEx>
          <w:tblCellMar>
            <w:top w:w="0" w:type="dxa"/>
            <w:bottom w:w="0" w:type="dxa"/>
          </w:tblCellMar>
        </w:tblPrEx>
        <w:trPr>
          <w:tblHeader/>
        </w:trPr>
        <w:tc>
          <w:tcPr>
            <w:tcW w:w="2050" w:type="dxa"/>
            <w:shd w:val="clear" w:color="auto" w:fill="1F4E79"/>
            <w:tcMar>
              <w:top w:w="90" w:type="dxa"/>
              <w:left w:w="110" w:type="dxa"/>
              <w:bottom w:w="90" w:type="dxa"/>
              <w:right w:w="110" w:type="dxa"/>
            </w:tcMar>
            <w:vAlign w:val="center"/>
          </w:tcPr>
          <w:p w14:paraId="2CFF3C45"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Pipeline Stage</w:t>
            </w:r>
          </w:p>
        </w:tc>
        <w:tc>
          <w:tcPr>
            <w:tcW w:w="3200" w:type="dxa"/>
            <w:shd w:val="clear" w:color="auto" w:fill="1F4E79"/>
            <w:tcMar>
              <w:top w:w="90" w:type="dxa"/>
              <w:left w:w="110" w:type="dxa"/>
              <w:bottom w:w="90" w:type="dxa"/>
              <w:right w:w="110" w:type="dxa"/>
            </w:tcMar>
            <w:vAlign w:val="center"/>
          </w:tcPr>
          <w:p w14:paraId="56B7F63C"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Recommended Tools</w:t>
            </w:r>
          </w:p>
        </w:tc>
        <w:tc>
          <w:tcPr>
            <w:tcW w:w="4150" w:type="dxa"/>
            <w:shd w:val="clear" w:color="auto" w:fill="1F4E79"/>
            <w:tcMar>
              <w:top w:w="90" w:type="dxa"/>
              <w:left w:w="110" w:type="dxa"/>
              <w:bottom w:w="90" w:type="dxa"/>
              <w:right w:w="110" w:type="dxa"/>
            </w:tcMar>
            <w:vAlign w:val="center"/>
          </w:tcPr>
          <w:p w14:paraId="6A6E4D76"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Justification</w:t>
            </w:r>
          </w:p>
        </w:tc>
      </w:tr>
      <w:tr w:rsidR="003D3097" w:rsidRPr="003E7B33" w14:paraId="1B9E2CF9" w14:textId="77777777">
        <w:tblPrEx>
          <w:tblCellMar>
            <w:top w:w="0" w:type="dxa"/>
            <w:bottom w:w="0" w:type="dxa"/>
          </w:tblCellMar>
        </w:tblPrEx>
        <w:tc>
          <w:tcPr>
            <w:tcW w:w="2050" w:type="dxa"/>
            <w:shd w:val="clear" w:color="auto" w:fill="FFFFFF"/>
            <w:tcMar>
              <w:top w:w="90" w:type="dxa"/>
              <w:left w:w="110" w:type="dxa"/>
              <w:bottom w:w="90" w:type="dxa"/>
              <w:right w:w="110" w:type="dxa"/>
            </w:tcMar>
            <w:vAlign w:val="center"/>
          </w:tcPr>
          <w:p w14:paraId="730A8A15"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Source Code Management</w:t>
            </w:r>
          </w:p>
        </w:tc>
        <w:tc>
          <w:tcPr>
            <w:tcW w:w="3200" w:type="dxa"/>
            <w:shd w:val="clear" w:color="auto" w:fill="FFFFFF"/>
            <w:tcMar>
              <w:top w:w="90" w:type="dxa"/>
              <w:left w:w="110" w:type="dxa"/>
              <w:bottom w:w="90" w:type="dxa"/>
              <w:right w:w="110" w:type="dxa"/>
            </w:tcMar>
            <w:vAlign w:val="center"/>
          </w:tcPr>
          <w:p w14:paraId="76604043"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Git with GitHub / GitLab (branch protection, mandatory PR review, signed commits)</w:t>
            </w:r>
          </w:p>
        </w:tc>
        <w:tc>
          <w:tcPr>
            <w:tcW w:w="4150" w:type="dxa"/>
            <w:shd w:val="clear" w:color="auto" w:fill="FFFFFF"/>
            <w:tcMar>
              <w:top w:w="90" w:type="dxa"/>
              <w:left w:w="110" w:type="dxa"/>
              <w:bottom w:w="90" w:type="dxa"/>
              <w:right w:w="110" w:type="dxa"/>
            </w:tcMar>
            <w:vAlign w:val="center"/>
          </w:tcPr>
          <w:p w14:paraId="658E3543"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Industry-standard distributed VCS with mature branch-protection, code review, and audit trail features required for a regulated safety product.</w:t>
            </w:r>
          </w:p>
        </w:tc>
      </w:tr>
      <w:tr w:rsidR="003D3097" w:rsidRPr="003E7B33" w14:paraId="0B7DA9A2" w14:textId="77777777">
        <w:tblPrEx>
          <w:tblCellMar>
            <w:top w:w="0" w:type="dxa"/>
            <w:bottom w:w="0" w:type="dxa"/>
          </w:tblCellMar>
        </w:tblPrEx>
        <w:tc>
          <w:tcPr>
            <w:tcW w:w="2050" w:type="dxa"/>
            <w:shd w:val="clear" w:color="auto" w:fill="F2F6FA"/>
            <w:tcMar>
              <w:top w:w="90" w:type="dxa"/>
              <w:left w:w="110" w:type="dxa"/>
              <w:bottom w:w="90" w:type="dxa"/>
              <w:right w:w="110" w:type="dxa"/>
            </w:tcMar>
            <w:vAlign w:val="center"/>
          </w:tcPr>
          <w:p w14:paraId="1E3019E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CI Orchestration</w:t>
            </w:r>
          </w:p>
        </w:tc>
        <w:tc>
          <w:tcPr>
            <w:tcW w:w="3200" w:type="dxa"/>
            <w:shd w:val="clear" w:color="auto" w:fill="F2F6FA"/>
            <w:tcMar>
              <w:top w:w="90" w:type="dxa"/>
              <w:left w:w="110" w:type="dxa"/>
              <w:bottom w:w="90" w:type="dxa"/>
              <w:right w:w="110" w:type="dxa"/>
            </w:tcMar>
            <w:vAlign w:val="center"/>
          </w:tcPr>
          <w:p w14:paraId="365FB89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Jenkins (self-hosted) or GitHub Actions / GitLab CI</w:t>
            </w:r>
          </w:p>
        </w:tc>
        <w:tc>
          <w:tcPr>
            <w:tcW w:w="4150" w:type="dxa"/>
            <w:shd w:val="clear" w:color="auto" w:fill="F2F6FA"/>
            <w:tcMar>
              <w:top w:w="90" w:type="dxa"/>
              <w:left w:w="110" w:type="dxa"/>
              <w:bottom w:w="90" w:type="dxa"/>
              <w:right w:w="110" w:type="dxa"/>
            </w:tcMar>
            <w:vAlign w:val="center"/>
          </w:tcPr>
          <w:p w14:paraId="113A7A97"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Both support declarative pipelines-as-code, parallel microservice builds, and rich plugin ecosystems for Docker, Kubernetes, and security tools; Jenkins offers on-prem control useful when handling sensitive site video data.</w:t>
            </w:r>
          </w:p>
        </w:tc>
      </w:tr>
      <w:tr w:rsidR="003D3097" w:rsidRPr="003E7B33" w14:paraId="209D3133" w14:textId="77777777">
        <w:tblPrEx>
          <w:tblCellMar>
            <w:top w:w="0" w:type="dxa"/>
            <w:bottom w:w="0" w:type="dxa"/>
          </w:tblCellMar>
        </w:tblPrEx>
        <w:tc>
          <w:tcPr>
            <w:tcW w:w="2050" w:type="dxa"/>
            <w:shd w:val="clear" w:color="auto" w:fill="FFFFFF"/>
            <w:tcMar>
              <w:top w:w="90" w:type="dxa"/>
              <w:left w:w="110" w:type="dxa"/>
              <w:bottom w:w="90" w:type="dxa"/>
              <w:right w:w="110" w:type="dxa"/>
            </w:tcMar>
            <w:vAlign w:val="center"/>
          </w:tcPr>
          <w:p w14:paraId="6EE156DC"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Build Tooling</w:t>
            </w:r>
          </w:p>
        </w:tc>
        <w:tc>
          <w:tcPr>
            <w:tcW w:w="3200" w:type="dxa"/>
            <w:shd w:val="clear" w:color="auto" w:fill="FFFFFF"/>
            <w:tcMar>
              <w:top w:w="90" w:type="dxa"/>
              <w:left w:w="110" w:type="dxa"/>
              <w:bottom w:w="90" w:type="dxa"/>
              <w:right w:w="110" w:type="dxa"/>
            </w:tcMar>
            <w:vAlign w:val="center"/>
          </w:tcPr>
          <w:p w14:paraId="55CE19CD"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Maven/Gradle (Java services), npm/Yarn (Node.js dashboard/API), Python + pip/Poetry (AI/ML services), Docker</w:t>
            </w:r>
          </w:p>
        </w:tc>
        <w:tc>
          <w:tcPr>
            <w:tcW w:w="4150" w:type="dxa"/>
            <w:shd w:val="clear" w:color="auto" w:fill="FFFFFF"/>
            <w:tcMar>
              <w:top w:w="90" w:type="dxa"/>
              <w:left w:w="110" w:type="dxa"/>
              <w:bottom w:w="90" w:type="dxa"/>
              <w:right w:w="110" w:type="dxa"/>
            </w:tcMar>
            <w:vAlign w:val="center"/>
          </w:tcPr>
          <w:p w14:paraId="5EC0AC41"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Matches the polyglot microservice stack (backend APIs, AI inference in Python, web dashboard in JS) while Docker standardizes build output across all services.</w:t>
            </w:r>
          </w:p>
        </w:tc>
      </w:tr>
      <w:tr w:rsidR="003D3097" w:rsidRPr="003E7B33" w14:paraId="4352D9E4" w14:textId="77777777">
        <w:tblPrEx>
          <w:tblCellMar>
            <w:top w:w="0" w:type="dxa"/>
            <w:bottom w:w="0" w:type="dxa"/>
          </w:tblCellMar>
        </w:tblPrEx>
        <w:tc>
          <w:tcPr>
            <w:tcW w:w="2050" w:type="dxa"/>
            <w:shd w:val="clear" w:color="auto" w:fill="F2F6FA"/>
            <w:tcMar>
              <w:top w:w="90" w:type="dxa"/>
              <w:left w:w="110" w:type="dxa"/>
              <w:bottom w:w="90" w:type="dxa"/>
              <w:right w:w="110" w:type="dxa"/>
            </w:tcMar>
            <w:vAlign w:val="center"/>
          </w:tcPr>
          <w:p w14:paraId="49754778"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Unit &amp; Integration Testing</w:t>
            </w:r>
          </w:p>
        </w:tc>
        <w:tc>
          <w:tcPr>
            <w:tcW w:w="3200" w:type="dxa"/>
            <w:shd w:val="clear" w:color="auto" w:fill="F2F6FA"/>
            <w:tcMar>
              <w:top w:w="90" w:type="dxa"/>
              <w:left w:w="110" w:type="dxa"/>
              <w:bottom w:w="90" w:type="dxa"/>
              <w:right w:w="110" w:type="dxa"/>
            </w:tcMar>
            <w:vAlign w:val="center"/>
          </w:tcPr>
          <w:p w14:paraId="3343AD8C"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JUnit/Mockito, PyTest, Jest/Mocha, Postman/Newman for API contract tests</w:t>
            </w:r>
          </w:p>
        </w:tc>
        <w:tc>
          <w:tcPr>
            <w:tcW w:w="4150" w:type="dxa"/>
            <w:shd w:val="clear" w:color="auto" w:fill="F2F6FA"/>
            <w:tcMar>
              <w:top w:w="90" w:type="dxa"/>
              <w:left w:w="110" w:type="dxa"/>
              <w:bottom w:w="90" w:type="dxa"/>
              <w:right w:w="110" w:type="dxa"/>
            </w:tcMar>
            <w:vAlign w:val="center"/>
          </w:tcPr>
          <w:p w14:paraId="46659D5D"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Language-appropriate frameworks with strong CI integration and reporting; Newman enables automated API-contract verification against IoT/telematics integrations.</w:t>
            </w:r>
          </w:p>
        </w:tc>
      </w:tr>
      <w:tr w:rsidR="003D3097" w:rsidRPr="003E7B33" w14:paraId="10A23E1E" w14:textId="77777777">
        <w:tblPrEx>
          <w:tblCellMar>
            <w:top w:w="0" w:type="dxa"/>
            <w:bottom w:w="0" w:type="dxa"/>
          </w:tblCellMar>
        </w:tblPrEx>
        <w:tc>
          <w:tcPr>
            <w:tcW w:w="2050" w:type="dxa"/>
            <w:shd w:val="clear" w:color="auto" w:fill="FFFFFF"/>
            <w:tcMar>
              <w:top w:w="90" w:type="dxa"/>
              <w:left w:w="110" w:type="dxa"/>
              <w:bottom w:w="90" w:type="dxa"/>
              <w:right w:w="110" w:type="dxa"/>
            </w:tcMar>
            <w:vAlign w:val="center"/>
          </w:tcPr>
          <w:p w14:paraId="5C7DE940"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lastRenderedPageBreak/>
              <w:t>AI Model Testing</w:t>
            </w:r>
          </w:p>
        </w:tc>
        <w:tc>
          <w:tcPr>
            <w:tcW w:w="3200" w:type="dxa"/>
            <w:shd w:val="clear" w:color="auto" w:fill="FFFFFF"/>
            <w:tcMar>
              <w:top w:w="90" w:type="dxa"/>
              <w:left w:w="110" w:type="dxa"/>
              <w:bottom w:w="90" w:type="dxa"/>
              <w:right w:w="110" w:type="dxa"/>
            </w:tcMar>
            <w:vAlign w:val="center"/>
          </w:tcPr>
          <w:p w14:paraId="656A2BE4"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MLflow / DVC for model versioning, custom accuracy/precision-recall validation scripts</w:t>
            </w:r>
          </w:p>
        </w:tc>
        <w:tc>
          <w:tcPr>
            <w:tcW w:w="4150" w:type="dxa"/>
            <w:shd w:val="clear" w:color="auto" w:fill="FFFFFF"/>
            <w:tcMar>
              <w:top w:w="90" w:type="dxa"/>
              <w:left w:w="110" w:type="dxa"/>
              <w:bottom w:w="90" w:type="dxa"/>
              <w:right w:w="110" w:type="dxa"/>
            </w:tcMar>
            <w:vAlign w:val="center"/>
          </w:tcPr>
          <w:p w14:paraId="3522BC65"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Ensures every retrained PPE-detection or risk-prediction model is benchmarked against a labeled validation dataset before promotion, preventing a regression in detection accuracy from reaching a live site.</w:t>
            </w:r>
          </w:p>
        </w:tc>
      </w:tr>
      <w:tr w:rsidR="003D3097" w:rsidRPr="003E7B33" w14:paraId="7BAB4D6F" w14:textId="77777777">
        <w:tblPrEx>
          <w:tblCellMar>
            <w:top w:w="0" w:type="dxa"/>
            <w:bottom w:w="0" w:type="dxa"/>
          </w:tblCellMar>
        </w:tblPrEx>
        <w:tc>
          <w:tcPr>
            <w:tcW w:w="2050" w:type="dxa"/>
            <w:shd w:val="clear" w:color="auto" w:fill="F2F6FA"/>
            <w:tcMar>
              <w:top w:w="90" w:type="dxa"/>
              <w:left w:w="110" w:type="dxa"/>
              <w:bottom w:w="90" w:type="dxa"/>
              <w:right w:w="110" w:type="dxa"/>
            </w:tcMar>
            <w:vAlign w:val="center"/>
          </w:tcPr>
          <w:p w14:paraId="3B35CD0E"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Code Quality Analysis</w:t>
            </w:r>
          </w:p>
        </w:tc>
        <w:tc>
          <w:tcPr>
            <w:tcW w:w="3200" w:type="dxa"/>
            <w:shd w:val="clear" w:color="auto" w:fill="F2F6FA"/>
            <w:tcMar>
              <w:top w:w="90" w:type="dxa"/>
              <w:left w:w="110" w:type="dxa"/>
              <w:bottom w:w="90" w:type="dxa"/>
              <w:right w:w="110" w:type="dxa"/>
            </w:tcMar>
            <w:vAlign w:val="center"/>
          </w:tcPr>
          <w:p w14:paraId="1A0868DB"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SonarQube, ESLint, Pylint, Checkstyle</w:t>
            </w:r>
          </w:p>
        </w:tc>
        <w:tc>
          <w:tcPr>
            <w:tcW w:w="4150" w:type="dxa"/>
            <w:shd w:val="clear" w:color="auto" w:fill="F2F6FA"/>
            <w:tcMar>
              <w:top w:w="90" w:type="dxa"/>
              <w:left w:w="110" w:type="dxa"/>
              <w:bottom w:w="90" w:type="dxa"/>
              <w:right w:w="110" w:type="dxa"/>
            </w:tcMar>
            <w:vAlign w:val="center"/>
          </w:tcPr>
          <w:p w14:paraId="4FAB5A1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SonarQube provides a unified quality gate across languages (bugs, code smells, duplication, coverage) enforced automatically before merge.</w:t>
            </w:r>
          </w:p>
        </w:tc>
      </w:tr>
      <w:tr w:rsidR="003D3097" w:rsidRPr="003E7B33" w14:paraId="346DA5D2" w14:textId="77777777">
        <w:tblPrEx>
          <w:tblCellMar>
            <w:top w:w="0" w:type="dxa"/>
            <w:bottom w:w="0" w:type="dxa"/>
          </w:tblCellMar>
        </w:tblPrEx>
        <w:tc>
          <w:tcPr>
            <w:tcW w:w="2050" w:type="dxa"/>
            <w:shd w:val="clear" w:color="auto" w:fill="FFFFFF"/>
            <w:tcMar>
              <w:top w:w="90" w:type="dxa"/>
              <w:left w:w="110" w:type="dxa"/>
              <w:bottom w:w="90" w:type="dxa"/>
              <w:right w:w="110" w:type="dxa"/>
            </w:tcMar>
            <w:vAlign w:val="center"/>
          </w:tcPr>
          <w:p w14:paraId="75C6A6EA"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Security Scanning</w:t>
            </w:r>
          </w:p>
        </w:tc>
        <w:tc>
          <w:tcPr>
            <w:tcW w:w="3200" w:type="dxa"/>
            <w:shd w:val="clear" w:color="auto" w:fill="FFFFFF"/>
            <w:tcMar>
              <w:top w:w="90" w:type="dxa"/>
              <w:left w:w="110" w:type="dxa"/>
              <w:bottom w:w="90" w:type="dxa"/>
              <w:right w:w="110" w:type="dxa"/>
            </w:tcMar>
            <w:vAlign w:val="center"/>
          </w:tcPr>
          <w:p w14:paraId="60FE4821"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OWASP Dependency-Check / Snyk, Trivy (container scanning), GitLeaks/TruffleHog (secret scanning), OWASP ZAP (DAST)</w:t>
            </w:r>
          </w:p>
        </w:tc>
        <w:tc>
          <w:tcPr>
            <w:tcW w:w="4150" w:type="dxa"/>
            <w:shd w:val="clear" w:color="auto" w:fill="FFFFFF"/>
            <w:tcMar>
              <w:top w:w="90" w:type="dxa"/>
              <w:left w:w="110" w:type="dxa"/>
              <w:bottom w:w="90" w:type="dxa"/>
              <w:right w:w="110" w:type="dxa"/>
            </w:tcMar>
            <w:vAlign w:val="center"/>
          </w:tcPr>
          <w:p w14:paraId="16221433"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Provides layered security — dependency CVEs, container image vulnerabilities, leaked credentials, and runtime API vulnerabilities — critical given the platform handles worker biometric and location data.</w:t>
            </w:r>
          </w:p>
        </w:tc>
      </w:tr>
      <w:tr w:rsidR="003D3097" w:rsidRPr="003E7B33" w14:paraId="048347DB" w14:textId="77777777">
        <w:tblPrEx>
          <w:tblCellMar>
            <w:top w:w="0" w:type="dxa"/>
            <w:bottom w:w="0" w:type="dxa"/>
          </w:tblCellMar>
        </w:tblPrEx>
        <w:tc>
          <w:tcPr>
            <w:tcW w:w="2050" w:type="dxa"/>
            <w:shd w:val="clear" w:color="auto" w:fill="F2F6FA"/>
            <w:tcMar>
              <w:top w:w="90" w:type="dxa"/>
              <w:left w:w="110" w:type="dxa"/>
              <w:bottom w:w="90" w:type="dxa"/>
              <w:right w:w="110" w:type="dxa"/>
            </w:tcMar>
            <w:vAlign w:val="center"/>
          </w:tcPr>
          <w:p w14:paraId="6D7F3317"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Artifact / Container Registry</w:t>
            </w:r>
          </w:p>
        </w:tc>
        <w:tc>
          <w:tcPr>
            <w:tcW w:w="3200" w:type="dxa"/>
            <w:shd w:val="clear" w:color="auto" w:fill="F2F6FA"/>
            <w:tcMar>
              <w:top w:w="90" w:type="dxa"/>
              <w:left w:w="110" w:type="dxa"/>
              <w:bottom w:w="90" w:type="dxa"/>
              <w:right w:w="110" w:type="dxa"/>
            </w:tcMar>
            <w:vAlign w:val="center"/>
          </w:tcPr>
          <w:p w14:paraId="43D7F656"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Docker + private registry (Amazon ECR / Azure ACR / Harbor)</w:t>
            </w:r>
          </w:p>
        </w:tc>
        <w:tc>
          <w:tcPr>
            <w:tcW w:w="4150" w:type="dxa"/>
            <w:shd w:val="clear" w:color="auto" w:fill="F2F6FA"/>
            <w:tcMar>
              <w:top w:w="90" w:type="dxa"/>
              <w:left w:w="110" w:type="dxa"/>
              <w:bottom w:w="90" w:type="dxa"/>
              <w:right w:w="110" w:type="dxa"/>
            </w:tcMar>
            <w:vAlign w:val="center"/>
          </w:tcPr>
          <w:p w14:paraId="4F121A2E"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Immutable, versioned, access-controlled storage for deployable images, enabling reliable rollback to any prior release.</w:t>
            </w:r>
          </w:p>
        </w:tc>
      </w:tr>
      <w:tr w:rsidR="003D3097" w:rsidRPr="003E7B33" w14:paraId="357D5092" w14:textId="77777777">
        <w:tblPrEx>
          <w:tblCellMar>
            <w:top w:w="0" w:type="dxa"/>
            <w:bottom w:w="0" w:type="dxa"/>
          </w:tblCellMar>
        </w:tblPrEx>
        <w:tc>
          <w:tcPr>
            <w:tcW w:w="2050" w:type="dxa"/>
            <w:shd w:val="clear" w:color="auto" w:fill="FFFFFF"/>
            <w:tcMar>
              <w:top w:w="90" w:type="dxa"/>
              <w:left w:w="110" w:type="dxa"/>
              <w:bottom w:w="90" w:type="dxa"/>
              <w:right w:w="110" w:type="dxa"/>
            </w:tcMar>
            <w:vAlign w:val="center"/>
          </w:tcPr>
          <w:p w14:paraId="3B685AAD"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Infrastructure as Code</w:t>
            </w:r>
          </w:p>
        </w:tc>
        <w:tc>
          <w:tcPr>
            <w:tcW w:w="3200" w:type="dxa"/>
            <w:shd w:val="clear" w:color="auto" w:fill="FFFFFF"/>
            <w:tcMar>
              <w:top w:w="90" w:type="dxa"/>
              <w:left w:w="110" w:type="dxa"/>
              <w:bottom w:w="90" w:type="dxa"/>
              <w:right w:w="110" w:type="dxa"/>
            </w:tcMar>
            <w:vAlign w:val="center"/>
          </w:tcPr>
          <w:p w14:paraId="2D6B6894"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Terraform + Helm charts</w:t>
            </w:r>
          </w:p>
        </w:tc>
        <w:tc>
          <w:tcPr>
            <w:tcW w:w="4150" w:type="dxa"/>
            <w:shd w:val="clear" w:color="auto" w:fill="FFFFFF"/>
            <w:tcMar>
              <w:top w:w="90" w:type="dxa"/>
              <w:left w:w="110" w:type="dxa"/>
              <w:bottom w:w="90" w:type="dxa"/>
              <w:right w:w="110" w:type="dxa"/>
            </w:tcMar>
            <w:vAlign w:val="center"/>
          </w:tcPr>
          <w:p w14:paraId="0C97C56B"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Reproducible, version-controlled infrastructure across every construction-project environment, avoiding configuration drift between sites.</w:t>
            </w:r>
          </w:p>
        </w:tc>
      </w:tr>
      <w:tr w:rsidR="003D3097" w:rsidRPr="003E7B33" w14:paraId="0263703B" w14:textId="77777777">
        <w:tblPrEx>
          <w:tblCellMar>
            <w:top w:w="0" w:type="dxa"/>
            <w:bottom w:w="0" w:type="dxa"/>
          </w:tblCellMar>
        </w:tblPrEx>
        <w:tc>
          <w:tcPr>
            <w:tcW w:w="2050" w:type="dxa"/>
            <w:shd w:val="clear" w:color="auto" w:fill="F2F6FA"/>
            <w:tcMar>
              <w:top w:w="90" w:type="dxa"/>
              <w:left w:w="110" w:type="dxa"/>
              <w:bottom w:w="90" w:type="dxa"/>
              <w:right w:w="110" w:type="dxa"/>
            </w:tcMar>
            <w:vAlign w:val="center"/>
          </w:tcPr>
          <w:p w14:paraId="2388BB7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Container Orchestration</w:t>
            </w:r>
          </w:p>
        </w:tc>
        <w:tc>
          <w:tcPr>
            <w:tcW w:w="3200" w:type="dxa"/>
            <w:shd w:val="clear" w:color="auto" w:fill="F2F6FA"/>
            <w:tcMar>
              <w:top w:w="90" w:type="dxa"/>
              <w:left w:w="110" w:type="dxa"/>
              <w:bottom w:w="90" w:type="dxa"/>
              <w:right w:w="110" w:type="dxa"/>
            </w:tcMar>
            <w:vAlign w:val="center"/>
          </w:tcPr>
          <w:p w14:paraId="4F8BC60D"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Kubernetes (managed: EKS/AKS/GKE)</w:t>
            </w:r>
          </w:p>
        </w:tc>
        <w:tc>
          <w:tcPr>
            <w:tcW w:w="4150" w:type="dxa"/>
            <w:shd w:val="clear" w:color="auto" w:fill="F2F6FA"/>
            <w:tcMar>
              <w:top w:w="90" w:type="dxa"/>
              <w:left w:w="110" w:type="dxa"/>
              <w:bottom w:w="90" w:type="dxa"/>
              <w:right w:w="110" w:type="dxa"/>
            </w:tcMar>
            <w:vAlign w:val="center"/>
          </w:tcPr>
          <w:p w14:paraId="4039BF0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Provides auto-scaling for bursty video/IoT workloads, self-healing, and native support for blue-green/canary deployment strategies.</w:t>
            </w:r>
          </w:p>
        </w:tc>
      </w:tr>
      <w:tr w:rsidR="003D3097" w:rsidRPr="003E7B33" w14:paraId="11199327" w14:textId="77777777">
        <w:tblPrEx>
          <w:tblCellMar>
            <w:top w:w="0" w:type="dxa"/>
            <w:bottom w:w="0" w:type="dxa"/>
          </w:tblCellMar>
        </w:tblPrEx>
        <w:tc>
          <w:tcPr>
            <w:tcW w:w="2050" w:type="dxa"/>
            <w:shd w:val="clear" w:color="auto" w:fill="FFFFFF"/>
            <w:tcMar>
              <w:top w:w="90" w:type="dxa"/>
              <w:left w:w="110" w:type="dxa"/>
              <w:bottom w:w="90" w:type="dxa"/>
              <w:right w:w="110" w:type="dxa"/>
            </w:tcMar>
            <w:vAlign w:val="center"/>
          </w:tcPr>
          <w:p w14:paraId="3BD52960"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Deployment Automation</w:t>
            </w:r>
          </w:p>
        </w:tc>
        <w:tc>
          <w:tcPr>
            <w:tcW w:w="3200" w:type="dxa"/>
            <w:shd w:val="clear" w:color="auto" w:fill="FFFFFF"/>
            <w:tcMar>
              <w:top w:w="90" w:type="dxa"/>
              <w:left w:w="110" w:type="dxa"/>
              <w:bottom w:w="90" w:type="dxa"/>
              <w:right w:w="110" w:type="dxa"/>
            </w:tcMar>
            <w:vAlign w:val="center"/>
          </w:tcPr>
          <w:p w14:paraId="7BA12C94"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Argo CD (GitOps) or Jenkins deployment pipelines with Helm</w:t>
            </w:r>
          </w:p>
        </w:tc>
        <w:tc>
          <w:tcPr>
            <w:tcW w:w="4150" w:type="dxa"/>
            <w:shd w:val="clear" w:color="auto" w:fill="FFFFFF"/>
            <w:tcMar>
              <w:top w:w="90" w:type="dxa"/>
              <w:left w:w="110" w:type="dxa"/>
              <w:bottom w:w="90" w:type="dxa"/>
              <w:right w:w="110" w:type="dxa"/>
            </w:tcMar>
            <w:vAlign w:val="center"/>
          </w:tcPr>
          <w:p w14:paraId="71381F66"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GitOps ensures the desired production state is always traceable to a Git commit, simplifying audits and rollback.</w:t>
            </w:r>
          </w:p>
        </w:tc>
      </w:tr>
      <w:tr w:rsidR="003D3097" w:rsidRPr="003E7B33" w14:paraId="1BF814BC" w14:textId="77777777">
        <w:tblPrEx>
          <w:tblCellMar>
            <w:top w:w="0" w:type="dxa"/>
            <w:bottom w:w="0" w:type="dxa"/>
          </w:tblCellMar>
        </w:tblPrEx>
        <w:tc>
          <w:tcPr>
            <w:tcW w:w="2050" w:type="dxa"/>
            <w:shd w:val="clear" w:color="auto" w:fill="F2F6FA"/>
            <w:tcMar>
              <w:top w:w="90" w:type="dxa"/>
              <w:left w:w="110" w:type="dxa"/>
              <w:bottom w:w="90" w:type="dxa"/>
              <w:right w:w="110" w:type="dxa"/>
            </w:tcMar>
            <w:vAlign w:val="center"/>
          </w:tcPr>
          <w:p w14:paraId="1D2F05D4"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Monitoring &amp; Logging</w:t>
            </w:r>
          </w:p>
        </w:tc>
        <w:tc>
          <w:tcPr>
            <w:tcW w:w="3200" w:type="dxa"/>
            <w:shd w:val="clear" w:color="auto" w:fill="F2F6FA"/>
            <w:tcMar>
              <w:top w:w="90" w:type="dxa"/>
              <w:left w:w="110" w:type="dxa"/>
              <w:bottom w:w="90" w:type="dxa"/>
              <w:right w:w="110" w:type="dxa"/>
            </w:tcMar>
            <w:vAlign w:val="center"/>
          </w:tcPr>
          <w:p w14:paraId="2FFF548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Prometheus + Grafana (metrics/dashboards), ELK/EFK stack (centralized logs), Alertmanager</w:t>
            </w:r>
          </w:p>
        </w:tc>
        <w:tc>
          <w:tcPr>
            <w:tcW w:w="4150" w:type="dxa"/>
            <w:shd w:val="clear" w:color="auto" w:fill="F2F6FA"/>
            <w:tcMar>
              <w:top w:w="90" w:type="dxa"/>
              <w:left w:w="110" w:type="dxa"/>
              <w:bottom w:w="90" w:type="dxa"/>
              <w:right w:w="110" w:type="dxa"/>
            </w:tcMar>
            <w:vAlign w:val="center"/>
          </w:tcPr>
          <w:p w14:paraId="7159C56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Real-time visibility into service health, model inference latency, and alert-delivery success — essential for a life-safety system.</w:t>
            </w:r>
          </w:p>
        </w:tc>
      </w:tr>
      <w:tr w:rsidR="003D3097" w:rsidRPr="003E7B33" w14:paraId="0AD7EC42" w14:textId="77777777">
        <w:tblPrEx>
          <w:tblCellMar>
            <w:top w:w="0" w:type="dxa"/>
            <w:bottom w:w="0" w:type="dxa"/>
          </w:tblCellMar>
        </w:tblPrEx>
        <w:tc>
          <w:tcPr>
            <w:tcW w:w="2050" w:type="dxa"/>
            <w:shd w:val="clear" w:color="auto" w:fill="FFFFFF"/>
            <w:tcMar>
              <w:top w:w="90" w:type="dxa"/>
              <w:left w:w="110" w:type="dxa"/>
              <w:bottom w:w="90" w:type="dxa"/>
              <w:right w:w="110" w:type="dxa"/>
            </w:tcMar>
            <w:vAlign w:val="center"/>
          </w:tcPr>
          <w:p w14:paraId="174028D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Notifications</w:t>
            </w:r>
          </w:p>
        </w:tc>
        <w:tc>
          <w:tcPr>
            <w:tcW w:w="3200" w:type="dxa"/>
            <w:shd w:val="clear" w:color="auto" w:fill="FFFFFF"/>
            <w:tcMar>
              <w:top w:w="90" w:type="dxa"/>
              <w:left w:w="110" w:type="dxa"/>
              <w:bottom w:w="90" w:type="dxa"/>
              <w:right w:w="110" w:type="dxa"/>
            </w:tcMar>
            <w:vAlign w:val="center"/>
          </w:tcPr>
          <w:p w14:paraId="136CABC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Slack / Microsoft Teams webhooks, PagerDuty, Email (SMTP) integration in pipeline</w:t>
            </w:r>
          </w:p>
        </w:tc>
        <w:tc>
          <w:tcPr>
            <w:tcW w:w="4150" w:type="dxa"/>
            <w:shd w:val="clear" w:color="auto" w:fill="FFFFFF"/>
            <w:tcMar>
              <w:top w:w="90" w:type="dxa"/>
              <w:left w:w="110" w:type="dxa"/>
              <w:bottom w:w="90" w:type="dxa"/>
              <w:right w:w="110" w:type="dxa"/>
            </w:tcMar>
            <w:vAlign w:val="center"/>
          </w:tcPr>
          <w:p w14:paraId="4B07F1E6"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Immediate, multi-channel notification to DevOps and safety teams on build failure, security finding, or production incident.</w:t>
            </w:r>
          </w:p>
        </w:tc>
      </w:tr>
    </w:tbl>
    <w:p w14:paraId="188F6271" w14:textId="77777777" w:rsidR="003D3097" w:rsidRPr="003E7B33" w:rsidRDefault="00000000">
      <w:pPr>
        <w:spacing w:before="100" w:after="260"/>
        <w:jc w:val="center"/>
        <w:rPr>
          <w:rFonts w:ascii="Times New Roman" w:hAnsi="Times New Roman" w:cs="Times New Roman"/>
          <w:sz w:val="24"/>
          <w:szCs w:val="24"/>
        </w:rPr>
      </w:pPr>
      <w:r w:rsidRPr="003E7B33">
        <w:rPr>
          <w:rFonts w:ascii="Times New Roman" w:hAnsi="Times New Roman" w:cs="Times New Roman"/>
          <w:i/>
          <w:iCs/>
          <w:color w:val="595959"/>
          <w:sz w:val="24"/>
          <w:szCs w:val="24"/>
        </w:rPr>
        <w:t>Table 3: Tool and technology selection with justification</w:t>
      </w:r>
    </w:p>
    <w:p w14:paraId="4FC040F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br w:type="page"/>
      </w:r>
    </w:p>
    <w:p w14:paraId="1D887116" w14:textId="77777777" w:rsidR="003D3097" w:rsidRPr="003E7B33" w:rsidRDefault="00000000">
      <w:pPr>
        <w:pStyle w:val="Heading1"/>
        <w:rPr>
          <w:rFonts w:ascii="Times New Roman" w:hAnsi="Times New Roman" w:cs="Times New Roman"/>
          <w:sz w:val="24"/>
          <w:szCs w:val="24"/>
        </w:rPr>
      </w:pPr>
      <w:r w:rsidRPr="003E7B33">
        <w:rPr>
          <w:rFonts w:ascii="Times New Roman" w:hAnsi="Times New Roman" w:cs="Times New Roman"/>
          <w:sz w:val="24"/>
          <w:szCs w:val="24"/>
        </w:rPr>
        <w:lastRenderedPageBreak/>
        <w:t>5. Automated Testing Strategy</w:t>
      </w:r>
    </w:p>
    <w:p w14:paraId="1667256C"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Given the safety-critical nature of the platform, testing is layered so that a defect can be caught as early and as cheaply as possible — a strategy commonly known as the 'testing pyramid' — while adding platform-specific layers for AI model quality and IoT/sensor integration correctness.</w:t>
      </w:r>
    </w:p>
    <w:p w14:paraId="0E135E34"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5.1 Testing Pyramid Approach</w:t>
      </w:r>
    </w:p>
    <w:p w14:paraId="1811ACB0"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Broad base — </w:t>
      </w:r>
      <w:r w:rsidRPr="003E7B33">
        <w:rPr>
          <w:rFonts w:ascii="Times New Roman" w:hAnsi="Times New Roman" w:cs="Times New Roman"/>
          <w:sz w:val="24"/>
          <w:szCs w:val="24"/>
        </w:rPr>
        <w:t>Fast, isolated unit tests form the foundation, executed on every commit to give developers immediate feedback.</w:t>
      </w:r>
    </w:p>
    <w:p w14:paraId="791A8D76"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Middle layer — </w:t>
      </w:r>
      <w:r w:rsidRPr="003E7B33">
        <w:rPr>
          <w:rFonts w:ascii="Times New Roman" w:hAnsi="Times New Roman" w:cs="Times New Roman"/>
          <w:sz w:val="24"/>
          <w:szCs w:val="24"/>
        </w:rPr>
        <w:t>Integration and contract tests validate communication between microservices and third-party IoT/equipment telematics APIs.</w:t>
      </w:r>
    </w:p>
    <w:p w14:paraId="0AB1EA8C"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Narrow top — </w:t>
      </w:r>
      <w:r w:rsidRPr="003E7B33">
        <w:rPr>
          <w:rFonts w:ascii="Times New Roman" w:hAnsi="Times New Roman" w:cs="Times New Roman"/>
          <w:sz w:val="24"/>
          <w:szCs w:val="24"/>
        </w:rPr>
        <w:t>A smaller number of end-to-end and UAT scenarios validate complete safety workflows (e.g., PPE violation → alert → report) in a staging environment that mirrors production.</w:t>
      </w:r>
    </w:p>
    <w:p w14:paraId="667FA7F1"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Specialized layers — </w:t>
      </w:r>
      <w:r w:rsidRPr="003E7B33">
        <w:rPr>
          <w:rFonts w:ascii="Times New Roman" w:hAnsi="Times New Roman" w:cs="Times New Roman"/>
          <w:sz w:val="24"/>
          <w:szCs w:val="24"/>
        </w:rPr>
        <w:t>Overlaid on the pyramid, dedicated AI-model validation and security/performance testing run at defined points to protect the platform's unique risk areas.</w:t>
      </w:r>
    </w:p>
    <w:p w14:paraId="4A5AB366"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5.2 Test Types, Triggers, and Tools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1422"/>
        <w:gridCol w:w="1980"/>
        <w:gridCol w:w="2469"/>
        <w:gridCol w:w="1810"/>
      </w:tblGrid>
      <w:tr w:rsidR="003D3097" w:rsidRPr="003E7B33" w14:paraId="43F88713" w14:textId="77777777">
        <w:tblPrEx>
          <w:tblCellMar>
            <w:top w:w="0" w:type="dxa"/>
            <w:bottom w:w="0" w:type="dxa"/>
          </w:tblCellMar>
        </w:tblPrEx>
        <w:trPr>
          <w:tblHeader/>
        </w:trPr>
        <w:tc>
          <w:tcPr>
            <w:tcW w:w="1550" w:type="dxa"/>
            <w:shd w:val="clear" w:color="auto" w:fill="1F4E79"/>
            <w:tcMar>
              <w:top w:w="90" w:type="dxa"/>
              <w:left w:w="110" w:type="dxa"/>
              <w:bottom w:w="90" w:type="dxa"/>
              <w:right w:w="110" w:type="dxa"/>
            </w:tcMar>
            <w:vAlign w:val="center"/>
          </w:tcPr>
          <w:p w14:paraId="14A12AA5"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Test Type</w:t>
            </w:r>
          </w:p>
        </w:tc>
        <w:tc>
          <w:tcPr>
            <w:tcW w:w="1450" w:type="dxa"/>
            <w:shd w:val="clear" w:color="auto" w:fill="1F4E79"/>
            <w:tcMar>
              <w:top w:w="90" w:type="dxa"/>
              <w:left w:w="110" w:type="dxa"/>
              <w:bottom w:w="90" w:type="dxa"/>
              <w:right w:w="110" w:type="dxa"/>
            </w:tcMar>
            <w:vAlign w:val="center"/>
          </w:tcPr>
          <w:p w14:paraId="05EDC693"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Trigger Point</w:t>
            </w:r>
          </w:p>
        </w:tc>
        <w:tc>
          <w:tcPr>
            <w:tcW w:w="1650" w:type="dxa"/>
            <w:shd w:val="clear" w:color="auto" w:fill="1F4E79"/>
            <w:tcMar>
              <w:top w:w="90" w:type="dxa"/>
              <w:left w:w="110" w:type="dxa"/>
              <w:bottom w:w="90" w:type="dxa"/>
              <w:right w:w="110" w:type="dxa"/>
            </w:tcMar>
            <w:vAlign w:val="center"/>
          </w:tcPr>
          <w:p w14:paraId="0DE7A596"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Tools</w:t>
            </w:r>
          </w:p>
        </w:tc>
        <w:tc>
          <w:tcPr>
            <w:tcW w:w="2650" w:type="dxa"/>
            <w:shd w:val="clear" w:color="auto" w:fill="1F4E79"/>
            <w:tcMar>
              <w:top w:w="90" w:type="dxa"/>
              <w:left w:w="110" w:type="dxa"/>
              <w:bottom w:w="90" w:type="dxa"/>
              <w:right w:w="110" w:type="dxa"/>
            </w:tcMar>
            <w:vAlign w:val="center"/>
          </w:tcPr>
          <w:p w14:paraId="0AC8171B"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What is Validated</w:t>
            </w:r>
          </w:p>
        </w:tc>
        <w:tc>
          <w:tcPr>
            <w:tcW w:w="1900" w:type="dxa"/>
            <w:shd w:val="clear" w:color="auto" w:fill="1F4E79"/>
            <w:tcMar>
              <w:top w:w="90" w:type="dxa"/>
              <w:left w:w="110" w:type="dxa"/>
              <w:bottom w:w="90" w:type="dxa"/>
              <w:right w:w="110" w:type="dxa"/>
            </w:tcMar>
            <w:vAlign w:val="center"/>
          </w:tcPr>
          <w:p w14:paraId="392B0F58"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Pass Criteria</w:t>
            </w:r>
          </w:p>
        </w:tc>
      </w:tr>
      <w:tr w:rsidR="003D3097" w:rsidRPr="003E7B33" w14:paraId="5E253D9F" w14:textId="77777777">
        <w:tblPrEx>
          <w:tblCellMar>
            <w:top w:w="0" w:type="dxa"/>
            <w:bottom w:w="0" w:type="dxa"/>
          </w:tblCellMar>
        </w:tblPrEx>
        <w:tc>
          <w:tcPr>
            <w:tcW w:w="1550" w:type="dxa"/>
            <w:shd w:val="clear" w:color="auto" w:fill="FFFFFF"/>
            <w:tcMar>
              <w:top w:w="90" w:type="dxa"/>
              <w:left w:w="110" w:type="dxa"/>
              <w:bottom w:w="90" w:type="dxa"/>
              <w:right w:w="110" w:type="dxa"/>
            </w:tcMar>
            <w:vAlign w:val="center"/>
          </w:tcPr>
          <w:p w14:paraId="3062B128"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Unit Testing</w:t>
            </w:r>
          </w:p>
        </w:tc>
        <w:tc>
          <w:tcPr>
            <w:tcW w:w="1450" w:type="dxa"/>
            <w:shd w:val="clear" w:color="auto" w:fill="FFFFFF"/>
            <w:tcMar>
              <w:top w:w="90" w:type="dxa"/>
              <w:left w:w="110" w:type="dxa"/>
              <w:bottom w:w="90" w:type="dxa"/>
              <w:right w:w="110" w:type="dxa"/>
            </w:tcMar>
            <w:vAlign w:val="center"/>
          </w:tcPr>
          <w:p w14:paraId="5533096C"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Every commit / PR</w:t>
            </w:r>
          </w:p>
        </w:tc>
        <w:tc>
          <w:tcPr>
            <w:tcW w:w="1650" w:type="dxa"/>
            <w:shd w:val="clear" w:color="auto" w:fill="FFFFFF"/>
            <w:tcMar>
              <w:top w:w="90" w:type="dxa"/>
              <w:left w:w="110" w:type="dxa"/>
              <w:bottom w:w="90" w:type="dxa"/>
              <w:right w:w="110" w:type="dxa"/>
            </w:tcMar>
            <w:vAlign w:val="center"/>
          </w:tcPr>
          <w:p w14:paraId="21FD4F6D"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JUnit, PyTest, Jest</w:t>
            </w:r>
          </w:p>
        </w:tc>
        <w:tc>
          <w:tcPr>
            <w:tcW w:w="2650" w:type="dxa"/>
            <w:shd w:val="clear" w:color="auto" w:fill="FFFFFF"/>
            <w:tcMar>
              <w:top w:w="90" w:type="dxa"/>
              <w:left w:w="110" w:type="dxa"/>
              <w:bottom w:w="90" w:type="dxa"/>
              <w:right w:w="110" w:type="dxa"/>
            </w:tcMar>
            <w:vAlign w:val="center"/>
          </w:tcPr>
          <w:p w14:paraId="0DDCBE40"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Validate individual functions/classes — e.g., PPE bounding-box classifier logic, alert-threshold calculators</w:t>
            </w:r>
          </w:p>
        </w:tc>
        <w:tc>
          <w:tcPr>
            <w:tcW w:w="1900" w:type="dxa"/>
            <w:shd w:val="clear" w:color="auto" w:fill="FFFFFF"/>
            <w:tcMar>
              <w:top w:w="90" w:type="dxa"/>
              <w:left w:w="110" w:type="dxa"/>
              <w:bottom w:w="90" w:type="dxa"/>
              <w:right w:w="110" w:type="dxa"/>
            </w:tcMar>
            <w:vAlign w:val="center"/>
          </w:tcPr>
          <w:p w14:paraId="687B52D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 80% code coverage on core safety-logic modules</w:t>
            </w:r>
          </w:p>
        </w:tc>
      </w:tr>
      <w:tr w:rsidR="003D3097" w:rsidRPr="003E7B33" w14:paraId="56AE1C82" w14:textId="77777777">
        <w:tblPrEx>
          <w:tblCellMar>
            <w:top w:w="0" w:type="dxa"/>
            <w:bottom w:w="0" w:type="dxa"/>
          </w:tblCellMar>
        </w:tblPrEx>
        <w:tc>
          <w:tcPr>
            <w:tcW w:w="1550" w:type="dxa"/>
            <w:shd w:val="clear" w:color="auto" w:fill="F2F6FA"/>
            <w:tcMar>
              <w:top w:w="90" w:type="dxa"/>
              <w:left w:w="110" w:type="dxa"/>
              <w:bottom w:w="90" w:type="dxa"/>
              <w:right w:w="110" w:type="dxa"/>
            </w:tcMar>
            <w:vAlign w:val="center"/>
          </w:tcPr>
          <w:p w14:paraId="55B9D5DA"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Integration Testing</w:t>
            </w:r>
          </w:p>
        </w:tc>
        <w:tc>
          <w:tcPr>
            <w:tcW w:w="1450" w:type="dxa"/>
            <w:shd w:val="clear" w:color="auto" w:fill="F2F6FA"/>
            <w:tcMar>
              <w:top w:w="90" w:type="dxa"/>
              <w:left w:w="110" w:type="dxa"/>
              <w:bottom w:w="90" w:type="dxa"/>
              <w:right w:w="110" w:type="dxa"/>
            </w:tcMar>
            <w:vAlign w:val="center"/>
          </w:tcPr>
          <w:p w14:paraId="554DE4E9"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On merge to develop branch</w:t>
            </w:r>
          </w:p>
        </w:tc>
        <w:tc>
          <w:tcPr>
            <w:tcW w:w="1650" w:type="dxa"/>
            <w:shd w:val="clear" w:color="auto" w:fill="F2F6FA"/>
            <w:tcMar>
              <w:top w:w="90" w:type="dxa"/>
              <w:left w:w="110" w:type="dxa"/>
              <w:bottom w:w="90" w:type="dxa"/>
              <w:right w:w="110" w:type="dxa"/>
            </w:tcMar>
            <w:vAlign w:val="center"/>
          </w:tcPr>
          <w:p w14:paraId="28539AE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PyTest + TestContainers, Newman/Postman</w:t>
            </w:r>
          </w:p>
        </w:tc>
        <w:tc>
          <w:tcPr>
            <w:tcW w:w="2650" w:type="dxa"/>
            <w:shd w:val="clear" w:color="auto" w:fill="F2F6FA"/>
            <w:tcMar>
              <w:top w:w="90" w:type="dxa"/>
              <w:left w:w="110" w:type="dxa"/>
              <w:bottom w:w="90" w:type="dxa"/>
              <w:right w:w="110" w:type="dxa"/>
            </w:tcMar>
            <w:vAlign w:val="center"/>
          </w:tcPr>
          <w:p w14:paraId="2A699A95"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Validate service-to-service communication: video-ingestion → AI-inference → alert service; IoT-broker → processing service</w:t>
            </w:r>
          </w:p>
        </w:tc>
        <w:tc>
          <w:tcPr>
            <w:tcW w:w="1900" w:type="dxa"/>
            <w:shd w:val="clear" w:color="auto" w:fill="F2F6FA"/>
            <w:tcMar>
              <w:top w:w="90" w:type="dxa"/>
              <w:left w:w="110" w:type="dxa"/>
              <w:bottom w:w="90" w:type="dxa"/>
              <w:right w:w="110" w:type="dxa"/>
            </w:tcMar>
            <w:vAlign w:val="center"/>
          </w:tcPr>
          <w:p w14:paraId="305C0EBC"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All critical integration paths pass; no broken contracts</w:t>
            </w:r>
          </w:p>
        </w:tc>
      </w:tr>
      <w:tr w:rsidR="003D3097" w:rsidRPr="003E7B33" w14:paraId="09E558A9" w14:textId="77777777">
        <w:tblPrEx>
          <w:tblCellMar>
            <w:top w:w="0" w:type="dxa"/>
            <w:bottom w:w="0" w:type="dxa"/>
          </w:tblCellMar>
        </w:tblPrEx>
        <w:tc>
          <w:tcPr>
            <w:tcW w:w="1550" w:type="dxa"/>
            <w:shd w:val="clear" w:color="auto" w:fill="FFFFFF"/>
            <w:tcMar>
              <w:top w:w="90" w:type="dxa"/>
              <w:left w:w="110" w:type="dxa"/>
              <w:bottom w:w="90" w:type="dxa"/>
              <w:right w:w="110" w:type="dxa"/>
            </w:tcMar>
            <w:vAlign w:val="center"/>
          </w:tcPr>
          <w:p w14:paraId="70889BBD"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AI Model Validation</w:t>
            </w:r>
          </w:p>
        </w:tc>
        <w:tc>
          <w:tcPr>
            <w:tcW w:w="1450" w:type="dxa"/>
            <w:shd w:val="clear" w:color="auto" w:fill="FFFFFF"/>
            <w:tcMar>
              <w:top w:w="90" w:type="dxa"/>
              <w:left w:w="110" w:type="dxa"/>
              <w:bottom w:w="90" w:type="dxa"/>
              <w:right w:w="110" w:type="dxa"/>
            </w:tcMar>
            <w:vAlign w:val="center"/>
          </w:tcPr>
          <w:p w14:paraId="43CB8CC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On any model artifact change</w:t>
            </w:r>
          </w:p>
        </w:tc>
        <w:tc>
          <w:tcPr>
            <w:tcW w:w="1650" w:type="dxa"/>
            <w:shd w:val="clear" w:color="auto" w:fill="FFFFFF"/>
            <w:tcMar>
              <w:top w:w="90" w:type="dxa"/>
              <w:left w:w="110" w:type="dxa"/>
              <w:bottom w:w="90" w:type="dxa"/>
              <w:right w:w="110" w:type="dxa"/>
            </w:tcMar>
            <w:vAlign w:val="center"/>
          </w:tcPr>
          <w:p w14:paraId="72E5B17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Custom validation harness + MLflow, labeled test dataset</w:t>
            </w:r>
          </w:p>
        </w:tc>
        <w:tc>
          <w:tcPr>
            <w:tcW w:w="2650" w:type="dxa"/>
            <w:shd w:val="clear" w:color="auto" w:fill="FFFFFF"/>
            <w:tcMar>
              <w:top w:w="90" w:type="dxa"/>
              <w:left w:w="110" w:type="dxa"/>
              <w:bottom w:w="90" w:type="dxa"/>
              <w:right w:w="110" w:type="dxa"/>
            </w:tcMar>
            <w:vAlign w:val="center"/>
          </w:tcPr>
          <w:p w14:paraId="70D550DB"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Precision/recall/F1 of PPE detection, false-negative rate on hazard-zone intrusion</w:t>
            </w:r>
          </w:p>
        </w:tc>
        <w:tc>
          <w:tcPr>
            <w:tcW w:w="1900" w:type="dxa"/>
            <w:shd w:val="clear" w:color="auto" w:fill="FFFFFF"/>
            <w:tcMar>
              <w:top w:w="90" w:type="dxa"/>
              <w:left w:w="110" w:type="dxa"/>
              <w:bottom w:w="90" w:type="dxa"/>
              <w:right w:w="110" w:type="dxa"/>
            </w:tcMar>
            <w:vAlign w:val="center"/>
          </w:tcPr>
          <w:p w14:paraId="428BD7D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No regression vs. last approved model baseline; false-negative rate below safety threshold</w:t>
            </w:r>
          </w:p>
        </w:tc>
      </w:tr>
      <w:tr w:rsidR="003D3097" w:rsidRPr="003E7B33" w14:paraId="5D9475B5" w14:textId="77777777">
        <w:tblPrEx>
          <w:tblCellMar>
            <w:top w:w="0" w:type="dxa"/>
            <w:bottom w:w="0" w:type="dxa"/>
          </w:tblCellMar>
        </w:tblPrEx>
        <w:tc>
          <w:tcPr>
            <w:tcW w:w="1550" w:type="dxa"/>
            <w:shd w:val="clear" w:color="auto" w:fill="F2F6FA"/>
            <w:tcMar>
              <w:top w:w="90" w:type="dxa"/>
              <w:left w:w="110" w:type="dxa"/>
              <w:bottom w:w="90" w:type="dxa"/>
              <w:right w:w="110" w:type="dxa"/>
            </w:tcMar>
            <w:vAlign w:val="center"/>
          </w:tcPr>
          <w:p w14:paraId="3E870C48"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System / End-to-End Testing</w:t>
            </w:r>
          </w:p>
        </w:tc>
        <w:tc>
          <w:tcPr>
            <w:tcW w:w="1450" w:type="dxa"/>
            <w:shd w:val="clear" w:color="auto" w:fill="F2F6FA"/>
            <w:tcMar>
              <w:top w:w="90" w:type="dxa"/>
              <w:left w:w="110" w:type="dxa"/>
              <w:bottom w:w="90" w:type="dxa"/>
              <w:right w:w="110" w:type="dxa"/>
            </w:tcMar>
            <w:vAlign w:val="center"/>
          </w:tcPr>
          <w:p w14:paraId="5DEF0B88"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On deployment to staging</w:t>
            </w:r>
          </w:p>
        </w:tc>
        <w:tc>
          <w:tcPr>
            <w:tcW w:w="1650" w:type="dxa"/>
            <w:shd w:val="clear" w:color="auto" w:fill="F2F6FA"/>
            <w:tcMar>
              <w:top w:w="90" w:type="dxa"/>
              <w:left w:w="110" w:type="dxa"/>
              <w:bottom w:w="90" w:type="dxa"/>
              <w:right w:w="110" w:type="dxa"/>
            </w:tcMar>
            <w:vAlign w:val="center"/>
          </w:tcPr>
          <w:p w14:paraId="369A5765"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 xml:space="preserve">Selenium/Cypress (dashboard), simulated camera </w:t>
            </w:r>
            <w:r w:rsidRPr="003E7B33">
              <w:rPr>
                <w:rFonts w:ascii="Times New Roman" w:hAnsi="Times New Roman" w:cs="Times New Roman"/>
                <w:sz w:val="24"/>
                <w:szCs w:val="24"/>
              </w:rPr>
              <w:lastRenderedPageBreak/>
              <w:t>&amp; sensor feed harness</w:t>
            </w:r>
          </w:p>
        </w:tc>
        <w:tc>
          <w:tcPr>
            <w:tcW w:w="2650" w:type="dxa"/>
            <w:shd w:val="clear" w:color="auto" w:fill="F2F6FA"/>
            <w:tcMar>
              <w:top w:w="90" w:type="dxa"/>
              <w:left w:w="110" w:type="dxa"/>
              <w:bottom w:w="90" w:type="dxa"/>
              <w:right w:w="110" w:type="dxa"/>
            </w:tcMar>
            <w:vAlign w:val="center"/>
          </w:tcPr>
          <w:p w14:paraId="5A178240"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lastRenderedPageBreak/>
              <w:t xml:space="preserve">Full workflow: violation detected → alert generated → </w:t>
            </w:r>
            <w:r w:rsidRPr="003E7B33">
              <w:rPr>
                <w:rFonts w:ascii="Times New Roman" w:hAnsi="Times New Roman" w:cs="Times New Roman"/>
                <w:sz w:val="24"/>
                <w:szCs w:val="24"/>
              </w:rPr>
              <w:lastRenderedPageBreak/>
              <w:t>supervisor notified → report logged</w:t>
            </w:r>
          </w:p>
        </w:tc>
        <w:tc>
          <w:tcPr>
            <w:tcW w:w="1900" w:type="dxa"/>
            <w:shd w:val="clear" w:color="auto" w:fill="F2F6FA"/>
            <w:tcMar>
              <w:top w:w="90" w:type="dxa"/>
              <w:left w:w="110" w:type="dxa"/>
              <w:bottom w:w="90" w:type="dxa"/>
              <w:right w:w="110" w:type="dxa"/>
            </w:tcMar>
            <w:vAlign w:val="center"/>
          </w:tcPr>
          <w:p w14:paraId="52ECB2CE"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lastRenderedPageBreak/>
              <w:t>All E2E safety-critical scenarios pass</w:t>
            </w:r>
          </w:p>
        </w:tc>
      </w:tr>
      <w:tr w:rsidR="003D3097" w:rsidRPr="003E7B33" w14:paraId="1DF4E260" w14:textId="77777777">
        <w:tblPrEx>
          <w:tblCellMar>
            <w:top w:w="0" w:type="dxa"/>
            <w:bottom w:w="0" w:type="dxa"/>
          </w:tblCellMar>
        </w:tblPrEx>
        <w:tc>
          <w:tcPr>
            <w:tcW w:w="1550" w:type="dxa"/>
            <w:shd w:val="clear" w:color="auto" w:fill="FFFFFF"/>
            <w:tcMar>
              <w:top w:w="90" w:type="dxa"/>
              <w:left w:w="110" w:type="dxa"/>
              <w:bottom w:w="90" w:type="dxa"/>
              <w:right w:w="110" w:type="dxa"/>
            </w:tcMar>
            <w:vAlign w:val="center"/>
          </w:tcPr>
          <w:p w14:paraId="237477AC"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Performance &amp; Load Testing</w:t>
            </w:r>
          </w:p>
        </w:tc>
        <w:tc>
          <w:tcPr>
            <w:tcW w:w="1450" w:type="dxa"/>
            <w:shd w:val="clear" w:color="auto" w:fill="FFFFFF"/>
            <w:tcMar>
              <w:top w:w="90" w:type="dxa"/>
              <w:left w:w="110" w:type="dxa"/>
              <w:bottom w:w="90" w:type="dxa"/>
              <w:right w:w="110" w:type="dxa"/>
            </w:tcMar>
            <w:vAlign w:val="center"/>
          </w:tcPr>
          <w:p w14:paraId="461FCFE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Weekly + pre-release to production</w:t>
            </w:r>
          </w:p>
        </w:tc>
        <w:tc>
          <w:tcPr>
            <w:tcW w:w="1650" w:type="dxa"/>
            <w:shd w:val="clear" w:color="auto" w:fill="FFFFFF"/>
            <w:tcMar>
              <w:top w:w="90" w:type="dxa"/>
              <w:left w:w="110" w:type="dxa"/>
              <w:bottom w:w="90" w:type="dxa"/>
              <w:right w:w="110" w:type="dxa"/>
            </w:tcMar>
            <w:vAlign w:val="center"/>
          </w:tcPr>
          <w:p w14:paraId="4D78E47B"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JMeter / k6, Locust</w:t>
            </w:r>
          </w:p>
        </w:tc>
        <w:tc>
          <w:tcPr>
            <w:tcW w:w="2650" w:type="dxa"/>
            <w:shd w:val="clear" w:color="auto" w:fill="FFFFFF"/>
            <w:tcMar>
              <w:top w:w="90" w:type="dxa"/>
              <w:left w:w="110" w:type="dxa"/>
              <w:bottom w:w="90" w:type="dxa"/>
              <w:right w:w="110" w:type="dxa"/>
            </w:tcMar>
            <w:vAlign w:val="center"/>
          </w:tcPr>
          <w:p w14:paraId="31E228AA"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Video-stream throughput, concurrent multi-site load, notification latency under peak load</w:t>
            </w:r>
          </w:p>
        </w:tc>
        <w:tc>
          <w:tcPr>
            <w:tcW w:w="1900" w:type="dxa"/>
            <w:shd w:val="clear" w:color="auto" w:fill="FFFFFF"/>
            <w:tcMar>
              <w:top w:w="90" w:type="dxa"/>
              <w:left w:w="110" w:type="dxa"/>
              <w:bottom w:w="90" w:type="dxa"/>
              <w:right w:w="110" w:type="dxa"/>
            </w:tcMar>
            <w:vAlign w:val="center"/>
          </w:tcPr>
          <w:p w14:paraId="4C3EBD66"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P95 alert latency within defined SLA (e.g., &lt; 5 seconds)</w:t>
            </w:r>
          </w:p>
        </w:tc>
      </w:tr>
      <w:tr w:rsidR="003D3097" w:rsidRPr="003E7B33" w14:paraId="24AF2FF3" w14:textId="77777777">
        <w:tblPrEx>
          <w:tblCellMar>
            <w:top w:w="0" w:type="dxa"/>
            <w:bottom w:w="0" w:type="dxa"/>
          </w:tblCellMar>
        </w:tblPrEx>
        <w:tc>
          <w:tcPr>
            <w:tcW w:w="1550" w:type="dxa"/>
            <w:shd w:val="clear" w:color="auto" w:fill="F2F6FA"/>
            <w:tcMar>
              <w:top w:w="90" w:type="dxa"/>
              <w:left w:w="110" w:type="dxa"/>
              <w:bottom w:w="90" w:type="dxa"/>
              <w:right w:w="110" w:type="dxa"/>
            </w:tcMar>
            <w:vAlign w:val="center"/>
          </w:tcPr>
          <w:p w14:paraId="569D3B10"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Security Testing</w:t>
            </w:r>
          </w:p>
        </w:tc>
        <w:tc>
          <w:tcPr>
            <w:tcW w:w="1450" w:type="dxa"/>
            <w:shd w:val="clear" w:color="auto" w:fill="F2F6FA"/>
            <w:tcMar>
              <w:top w:w="90" w:type="dxa"/>
              <w:left w:w="110" w:type="dxa"/>
              <w:bottom w:w="90" w:type="dxa"/>
              <w:right w:w="110" w:type="dxa"/>
            </w:tcMar>
            <w:vAlign w:val="center"/>
          </w:tcPr>
          <w:p w14:paraId="68EFCBD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Every build + scheduled scans</w:t>
            </w:r>
          </w:p>
        </w:tc>
        <w:tc>
          <w:tcPr>
            <w:tcW w:w="1650" w:type="dxa"/>
            <w:shd w:val="clear" w:color="auto" w:fill="F2F6FA"/>
            <w:tcMar>
              <w:top w:w="90" w:type="dxa"/>
              <w:left w:w="110" w:type="dxa"/>
              <w:bottom w:w="90" w:type="dxa"/>
              <w:right w:w="110" w:type="dxa"/>
            </w:tcMar>
            <w:vAlign w:val="center"/>
          </w:tcPr>
          <w:p w14:paraId="526D1BE7"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OWASP ZAP, Trivy, Snyk</w:t>
            </w:r>
          </w:p>
        </w:tc>
        <w:tc>
          <w:tcPr>
            <w:tcW w:w="2650" w:type="dxa"/>
            <w:shd w:val="clear" w:color="auto" w:fill="F2F6FA"/>
            <w:tcMar>
              <w:top w:w="90" w:type="dxa"/>
              <w:left w:w="110" w:type="dxa"/>
              <w:bottom w:w="90" w:type="dxa"/>
              <w:right w:w="110" w:type="dxa"/>
            </w:tcMar>
            <w:vAlign w:val="center"/>
          </w:tcPr>
          <w:p w14:paraId="3ED44A5B"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Vulnerability and secret scanning across code, dependencies, and containers</w:t>
            </w:r>
          </w:p>
        </w:tc>
        <w:tc>
          <w:tcPr>
            <w:tcW w:w="1900" w:type="dxa"/>
            <w:shd w:val="clear" w:color="auto" w:fill="F2F6FA"/>
            <w:tcMar>
              <w:top w:w="90" w:type="dxa"/>
              <w:left w:w="110" w:type="dxa"/>
              <w:bottom w:w="90" w:type="dxa"/>
              <w:right w:w="110" w:type="dxa"/>
            </w:tcMar>
            <w:vAlign w:val="center"/>
          </w:tcPr>
          <w:p w14:paraId="71354BF0"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Zero critical/high vulnerabilities before promotion</w:t>
            </w:r>
          </w:p>
        </w:tc>
      </w:tr>
      <w:tr w:rsidR="003D3097" w:rsidRPr="003E7B33" w14:paraId="6CC8B786" w14:textId="77777777">
        <w:tblPrEx>
          <w:tblCellMar>
            <w:top w:w="0" w:type="dxa"/>
            <w:bottom w:w="0" w:type="dxa"/>
          </w:tblCellMar>
        </w:tblPrEx>
        <w:tc>
          <w:tcPr>
            <w:tcW w:w="1550" w:type="dxa"/>
            <w:shd w:val="clear" w:color="auto" w:fill="FFFFFF"/>
            <w:tcMar>
              <w:top w:w="90" w:type="dxa"/>
              <w:left w:w="110" w:type="dxa"/>
              <w:bottom w:w="90" w:type="dxa"/>
              <w:right w:w="110" w:type="dxa"/>
            </w:tcMar>
            <w:vAlign w:val="center"/>
          </w:tcPr>
          <w:p w14:paraId="6FCF373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User Acceptance Testing (UAT)</w:t>
            </w:r>
          </w:p>
        </w:tc>
        <w:tc>
          <w:tcPr>
            <w:tcW w:w="1450" w:type="dxa"/>
            <w:shd w:val="clear" w:color="auto" w:fill="FFFFFF"/>
            <w:tcMar>
              <w:top w:w="90" w:type="dxa"/>
              <w:left w:w="110" w:type="dxa"/>
              <w:bottom w:w="90" w:type="dxa"/>
              <w:right w:w="110" w:type="dxa"/>
            </w:tcMar>
            <w:vAlign w:val="center"/>
          </w:tcPr>
          <w:p w14:paraId="7B8562A9"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Before production release</w:t>
            </w:r>
          </w:p>
        </w:tc>
        <w:tc>
          <w:tcPr>
            <w:tcW w:w="1650" w:type="dxa"/>
            <w:shd w:val="clear" w:color="auto" w:fill="FFFFFF"/>
            <w:tcMar>
              <w:top w:w="90" w:type="dxa"/>
              <w:left w:w="110" w:type="dxa"/>
              <w:bottom w:w="90" w:type="dxa"/>
              <w:right w:w="110" w:type="dxa"/>
            </w:tcMar>
            <w:vAlign w:val="center"/>
          </w:tcPr>
          <w:p w14:paraId="4726E40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Manual + scripted scenarios with safety officers/QA</w:t>
            </w:r>
          </w:p>
        </w:tc>
        <w:tc>
          <w:tcPr>
            <w:tcW w:w="2650" w:type="dxa"/>
            <w:shd w:val="clear" w:color="auto" w:fill="FFFFFF"/>
            <w:tcMar>
              <w:top w:w="90" w:type="dxa"/>
              <w:left w:w="110" w:type="dxa"/>
              <w:bottom w:w="90" w:type="dxa"/>
              <w:right w:w="110" w:type="dxa"/>
            </w:tcMar>
            <w:vAlign w:val="center"/>
          </w:tcPr>
          <w:p w14:paraId="3A05E8E2"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Business and compliance-rule validation with site-safety stakeholders</w:t>
            </w:r>
          </w:p>
        </w:tc>
        <w:tc>
          <w:tcPr>
            <w:tcW w:w="1900" w:type="dxa"/>
            <w:shd w:val="clear" w:color="auto" w:fill="FFFFFF"/>
            <w:tcMar>
              <w:top w:w="90" w:type="dxa"/>
              <w:left w:w="110" w:type="dxa"/>
              <w:bottom w:w="90" w:type="dxa"/>
              <w:right w:w="110" w:type="dxa"/>
            </w:tcMar>
            <w:vAlign w:val="center"/>
          </w:tcPr>
          <w:p w14:paraId="0FC3FCDF"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Formal sign-off recorded before approval gate</w:t>
            </w:r>
          </w:p>
        </w:tc>
      </w:tr>
      <w:tr w:rsidR="003D3097" w:rsidRPr="003E7B33" w14:paraId="1E8F9393" w14:textId="77777777">
        <w:tblPrEx>
          <w:tblCellMar>
            <w:top w:w="0" w:type="dxa"/>
            <w:bottom w:w="0" w:type="dxa"/>
          </w:tblCellMar>
        </w:tblPrEx>
        <w:tc>
          <w:tcPr>
            <w:tcW w:w="1550" w:type="dxa"/>
            <w:shd w:val="clear" w:color="auto" w:fill="F2F6FA"/>
            <w:tcMar>
              <w:top w:w="90" w:type="dxa"/>
              <w:left w:w="110" w:type="dxa"/>
              <w:bottom w:w="90" w:type="dxa"/>
              <w:right w:w="110" w:type="dxa"/>
            </w:tcMar>
            <w:vAlign w:val="center"/>
          </w:tcPr>
          <w:p w14:paraId="6B357894"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Chaos / Resilience Testing</w:t>
            </w:r>
          </w:p>
        </w:tc>
        <w:tc>
          <w:tcPr>
            <w:tcW w:w="1450" w:type="dxa"/>
            <w:shd w:val="clear" w:color="auto" w:fill="F2F6FA"/>
            <w:tcMar>
              <w:top w:w="90" w:type="dxa"/>
              <w:left w:w="110" w:type="dxa"/>
              <w:bottom w:w="90" w:type="dxa"/>
              <w:right w:w="110" w:type="dxa"/>
            </w:tcMar>
            <w:vAlign w:val="center"/>
          </w:tcPr>
          <w:p w14:paraId="7D5FAAFE"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Periodic, pre-major-release</w:t>
            </w:r>
          </w:p>
        </w:tc>
        <w:tc>
          <w:tcPr>
            <w:tcW w:w="1650" w:type="dxa"/>
            <w:shd w:val="clear" w:color="auto" w:fill="F2F6FA"/>
            <w:tcMar>
              <w:top w:w="90" w:type="dxa"/>
              <w:left w:w="110" w:type="dxa"/>
              <w:bottom w:w="90" w:type="dxa"/>
              <w:right w:w="110" w:type="dxa"/>
            </w:tcMar>
            <w:vAlign w:val="center"/>
          </w:tcPr>
          <w:p w14:paraId="5A2FBB66"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Chaos Mesh / Gremlin</w:t>
            </w:r>
          </w:p>
        </w:tc>
        <w:tc>
          <w:tcPr>
            <w:tcW w:w="2650" w:type="dxa"/>
            <w:shd w:val="clear" w:color="auto" w:fill="F2F6FA"/>
            <w:tcMar>
              <w:top w:w="90" w:type="dxa"/>
              <w:left w:w="110" w:type="dxa"/>
              <w:bottom w:w="90" w:type="dxa"/>
              <w:right w:w="110" w:type="dxa"/>
            </w:tcMar>
            <w:vAlign w:val="center"/>
          </w:tcPr>
          <w:p w14:paraId="74350BE6"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Service failure, network partition, and IoT-broker outage simulation</w:t>
            </w:r>
          </w:p>
        </w:tc>
        <w:tc>
          <w:tcPr>
            <w:tcW w:w="1900" w:type="dxa"/>
            <w:shd w:val="clear" w:color="auto" w:fill="F2F6FA"/>
            <w:tcMar>
              <w:top w:w="90" w:type="dxa"/>
              <w:left w:w="110" w:type="dxa"/>
              <w:bottom w:w="90" w:type="dxa"/>
              <w:right w:w="110" w:type="dxa"/>
            </w:tcMar>
            <w:vAlign w:val="center"/>
          </w:tcPr>
          <w:p w14:paraId="32165A36"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System degrades gracefully; alerting fails over correctly</w:t>
            </w:r>
          </w:p>
        </w:tc>
      </w:tr>
    </w:tbl>
    <w:p w14:paraId="051D2C99" w14:textId="77777777" w:rsidR="003D3097" w:rsidRPr="003E7B33" w:rsidRDefault="00000000">
      <w:pPr>
        <w:spacing w:before="100" w:after="260"/>
        <w:jc w:val="center"/>
        <w:rPr>
          <w:rFonts w:ascii="Times New Roman" w:hAnsi="Times New Roman" w:cs="Times New Roman"/>
          <w:sz w:val="24"/>
          <w:szCs w:val="24"/>
        </w:rPr>
      </w:pPr>
      <w:r w:rsidRPr="003E7B33">
        <w:rPr>
          <w:rFonts w:ascii="Times New Roman" w:hAnsi="Times New Roman" w:cs="Times New Roman"/>
          <w:i/>
          <w:iCs/>
          <w:color w:val="595959"/>
          <w:sz w:val="24"/>
          <w:szCs w:val="24"/>
        </w:rPr>
        <w:t>Table 4: Automated testing strategy across the pipeline</w:t>
      </w:r>
    </w:p>
    <w:p w14:paraId="4B4493EB" w14:textId="77777777" w:rsidR="003D3097" w:rsidRPr="003E7B33" w:rsidRDefault="00000000">
      <w:pPr>
        <w:pStyle w:val="Heading1"/>
        <w:rPr>
          <w:rFonts w:ascii="Times New Roman" w:hAnsi="Times New Roman" w:cs="Times New Roman"/>
          <w:sz w:val="24"/>
          <w:szCs w:val="24"/>
        </w:rPr>
      </w:pPr>
      <w:r w:rsidRPr="003E7B33">
        <w:rPr>
          <w:rFonts w:ascii="Times New Roman" w:hAnsi="Times New Roman" w:cs="Times New Roman"/>
          <w:sz w:val="24"/>
          <w:szCs w:val="24"/>
        </w:rPr>
        <w:t>6. Deployment Strategy</w:t>
      </w:r>
    </w:p>
    <w:p w14:paraId="20EB69E7"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The platform is promoted through three progressively production-like environments. Promotion between environments is gated by automated test results and, for the final promotion to production, a mandatory manual approval from QA/Release Management to reflect the life-safety nature of the system.</w:t>
      </w:r>
    </w:p>
    <w:p w14:paraId="024A79FF" w14:textId="77777777" w:rsidR="003D3097" w:rsidRPr="003E7B33" w:rsidRDefault="00000000">
      <w:pPr>
        <w:spacing w:before="160" w:after="60"/>
        <w:jc w:val="center"/>
        <w:rPr>
          <w:rFonts w:ascii="Times New Roman" w:hAnsi="Times New Roman" w:cs="Times New Roman"/>
          <w:sz w:val="24"/>
          <w:szCs w:val="24"/>
        </w:rPr>
      </w:pPr>
      <w:r w:rsidRPr="003E7B33">
        <w:rPr>
          <w:rFonts w:ascii="Times New Roman" w:hAnsi="Times New Roman" w:cs="Times New Roman"/>
          <w:noProof/>
          <w:sz w:val="24"/>
          <w:szCs w:val="24"/>
        </w:rPr>
        <w:lastRenderedPageBreak/>
        <w:drawing>
          <wp:inline distT="0" distB="0" distL="0" distR="0" wp14:anchorId="31B2C11D" wp14:editId="31A734A0">
            <wp:extent cx="5715000" cy="2790825"/>
            <wp:effectExtent l="0" t="0" r="0" b="0"/>
            <wp:docPr id="747360180" name="Deployment Environment Strategy Diagram" descr="Deployment Environment Strategy Diagram" title="Deployment Environment Strate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90825"/>
                    </a:xfrm>
                    <a:prstGeom prst="rect">
                      <a:avLst/>
                    </a:prstGeom>
                  </pic:spPr>
                </pic:pic>
              </a:graphicData>
            </a:graphic>
          </wp:inline>
        </w:drawing>
      </w:r>
    </w:p>
    <w:p w14:paraId="7E36CC27" w14:textId="77777777" w:rsidR="003D3097" w:rsidRPr="003E7B33" w:rsidRDefault="00000000">
      <w:pPr>
        <w:spacing w:before="100" w:after="260"/>
        <w:jc w:val="center"/>
        <w:rPr>
          <w:rFonts w:ascii="Times New Roman" w:hAnsi="Times New Roman" w:cs="Times New Roman"/>
          <w:sz w:val="24"/>
          <w:szCs w:val="24"/>
        </w:rPr>
      </w:pPr>
      <w:r w:rsidRPr="003E7B33">
        <w:rPr>
          <w:rFonts w:ascii="Times New Roman" w:hAnsi="Times New Roman" w:cs="Times New Roman"/>
          <w:i/>
          <w:iCs/>
          <w:color w:val="595959"/>
          <w:sz w:val="24"/>
          <w:szCs w:val="24"/>
        </w:rPr>
        <w:t>Figure 2: Multi-environment deployment strategy (Development → Staging → Production)</w:t>
      </w:r>
    </w:p>
    <w:p w14:paraId="1742EDEE"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6.1 Environment Definitions</w:t>
      </w:r>
    </w:p>
    <w:p w14:paraId="7DAE944E"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6.1.1 Development Environment</w:t>
      </w:r>
    </w:p>
    <w:p w14:paraId="2D7C742A"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Purpose: </w:t>
      </w:r>
      <w:r w:rsidRPr="003E7B33">
        <w:rPr>
          <w:rFonts w:ascii="Times New Roman" w:hAnsi="Times New Roman" w:cs="Times New Roman"/>
          <w:sz w:val="24"/>
          <w:szCs w:val="24"/>
        </w:rPr>
        <w:t>Every feature branch is automatically built and deployed to an ephemeral namespace using Docker Compose or a lightweight Kubernetes dev cluster, enabling developers to validate changes in isolation.</w:t>
      </w:r>
    </w:p>
    <w:p w14:paraId="1A81449B"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Testing performed: </w:t>
      </w:r>
      <w:r w:rsidRPr="003E7B33">
        <w:rPr>
          <w:rFonts w:ascii="Times New Roman" w:hAnsi="Times New Roman" w:cs="Times New Roman"/>
          <w:sz w:val="24"/>
          <w:szCs w:val="24"/>
        </w:rPr>
        <w:t>Unit and integration tests, linting, and static code analysis.</w:t>
      </w:r>
    </w:p>
    <w:p w14:paraId="6C319D83"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Data: </w:t>
      </w:r>
      <w:r w:rsidRPr="003E7B33">
        <w:rPr>
          <w:rFonts w:ascii="Times New Roman" w:hAnsi="Times New Roman" w:cs="Times New Roman"/>
          <w:sz w:val="24"/>
          <w:szCs w:val="24"/>
        </w:rPr>
        <w:t>Mocked or synthetic video/IoT data streams to avoid dependency on live site hardware.</w:t>
      </w:r>
    </w:p>
    <w:p w14:paraId="46749510"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6.1.2 Staging / QA Environment</w:t>
      </w:r>
    </w:p>
    <w:p w14:paraId="01876500"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Purpose: </w:t>
      </w:r>
      <w:r w:rsidRPr="003E7B33">
        <w:rPr>
          <w:rFonts w:ascii="Times New Roman" w:hAnsi="Times New Roman" w:cs="Times New Roman"/>
          <w:sz w:val="24"/>
          <w:szCs w:val="24"/>
        </w:rPr>
        <w:t>A production-like Kubernetes namespace where the full microservice stack runs together for realistic validation before any real construction site is touched.</w:t>
      </w:r>
    </w:p>
    <w:p w14:paraId="423A70D7"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Testing performed: </w:t>
      </w:r>
      <w:r w:rsidRPr="003E7B33">
        <w:rPr>
          <w:rFonts w:ascii="Times New Roman" w:hAnsi="Times New Roman" w:cs="Times New Roman"/>
          <w:sz w:val="24"/>
          <w:szCs w:val="24"/>
        </w:rPr>
        <w:t>End-to-end, performance/load, security (DAST), and AI model validation tests, plus manual UAT with safety-compliance stakeholders.</w:t>
      </w:r>
    </w:p>
    <w:p w14:paraId="5707B8A7"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Data: </w:t>
      </w:r>
      <w:r w:rsidRPr="003E7B33">
        <w:rPr>
          <w:rFonts w:ascii="Times New Roman" w:hAnsi="Times New Roman" w:cs="Times New Roman"/>
          <w:sz w:val="24"/>
          <w:szCs w:val="24"/>
        </w:rPr>
        <w:t>Simulated camera feeds and sensor/wearable data generators that mimic real site conditions without exposing live worker data.</w:t>
      </w:r>
    </w:p>
    <w:p w14:paraId="5E43CE16"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6.1.3 Production Environment</w:t>
      </w:r>
    </w:p>
    <w:p w14:paraId="6A45FFA6"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Purpose: </w:t>
      </w:r>
      <w:r w:rsidRPr="003E7B33">
        <w:rPr>
          <w:rFonts w:ascii="Times New Roman" w:hAnsi="Times New Roman" w:cs="Times New Roman"/>
          <w:sz w:val="24"/>
          <w:szCs w:val="24"/>
        </w:rPr>
        <w:t>The live, multi-region, multi-tenant environment serving real construction sites, with strict change control.</w:t>
      </w:r>
    </w:p>
    <w:p w14:paraId="1A6D8575"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Release method: </w:t>
      </w:r>
      <w:r w:rsidRPr="003E7B33">
        <w:rPr>
          <w:rFonts w:ascii="Times New Roman" w:hAnsi="Times New Roman" w:cs="Times New Roman"/>
          <w:sz w:val="24"/>
          <w:szCs w:val="24"/>
        </w:rPr>
        <w:t>Blue-Green or Canary release strategy: new versions are deployed alongside the current stable version and gradually receive live traffic while key safety metrics (alert latency, detection accuracy, error rate) are monitored before a full cutover.</w:t>
      </w:r>
    </w:p>
    <w:p w14:paraId="76A5A088"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Data: </w:t>
      </w:r>
      <w:r w:rsidRPr="003E7B33">
        <w:rPr>
          <w:rFonts w:ascii="Times New Roman" w:hAnsi="Times New Roman" w:cs="Times New Roman"/>
          <w:sz w:val="24"/>
          <w:szCs w:val="24"/>
        </w:rPr>
        <w:t>Real camera streams, IoT/wearable sensor data, and equipment telematics from active construction sites, protected by encryption in transit and at rest.</w:t>
      </w:r>
    </w:p>
    <w:p w14:paraId="4B0C891A"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6.2 Promotion Criteria Between Environments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3D3097" w:rsidRPr="003E7B33" w14:paraId="6E5761D0" w14:textId="77777777">
        <w:tblPrEx>
          <w:tblCellMar>
            <w:top w:w="0" w:type="dxa"/>
            <w:bottom w:w="0" w:type="dxa"/>
          </w:tblCellMar>
        </w:tblPrEx>
        <w:trPr>
          <w:tblHeader/>
        </w:trPr>
        <w:tc>
          <w:tcPr>
            <w:tcW w:w="2600" w:type="dxa"/>
            <w:shd w:val="clear" w:color="auto" w:fill="1F4E79"/>
            <w:tcMar>
              <w:top w:w="90" w:type="dxa"/>
              <w:left w:w="110" w:type="dxa"/>
              <w:bottom w:w="90" w:type="dxa"/>
              <w:right w:w="110" w:type="dxa"/>
            </w:tcMar>
            <w:vAlign w:val="center"/>
          </w:tcPr>
          <w:p w14:paraId="3AF4827D"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lastRenderedPageBreak/>
              <w:t>Promotion</w:t>
            </w:r>
          </w:p>
        </w:tc>
        <w:tc>
          <w:tcPr>
            <w:tcW w:w="6800" w:type="dxa"/>
            <w:shd w:val="clear" w:color="auto" w:fill="1F4E79"/>
            <w:tcMar>
              <w:top w:w="90" w:type="dxa"/>
              <w:left w:w="110" w:type="dxa"/>
              <w:bottom w:w="90" w:type="dxa"/>
              <w:right w:w="110" w:type="dxa"/>
            </w:tcMar>
            <w:vAlign w:val="center"/>
          </w:tcPr>
          <w:p w14:paraId="513EB94B" w14:textId="77777777" w:rsidR="003D3097" w:rsidRPr="003E7B33" w:rsidRDefault="00000000">
            <w:pPr>
              <w:jc w:val="center"/>
              <w:rPr>
                <w:rFonts w:ascii="Times New Roman" w:hAnsi="Times New Roman" w:cs="Times New Roman"/>
                <w:sz w:val="24"/>
                <w:szCs w:val="24"/>
              </w:rPr>
            </w:pPr>
            <w:r w:rsidRPr="003E7B33">
              <w:rPr>
                <w:rFonts w:ascii="Times New Roman" w:hAnsi="Times New Roman" w:cs="Times New Roman"/>
                <w:b/>
                <w:bCs/>
                <w:color w:val="FFFFFF"/>
                <w:sz w:val="24"/>
                <w:szCs w:val="24"/>
              </w:rPr>
              <w:t>Gate / Condition</w:t>
            </w:r>
          </w:p>
        </w:tc>
      </w:tr>
      <w:tr w:rsidR="003D3097" w:rsidRPr="003E7B33" w14:paraId="2BE7C2D5"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9505429"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Dev → Staging</w:t>
            </w:r>
          </w:p>
        </w:tc>
        <w:tc>
          <w:tcPr>
            <w:tcW w:w="6800" w:type="dxa"/>
            <w:shd w:val="clear" w:color="auto" w:fill="FFFFFF"/>
            <w:tcMar>
              <w:top w:w="90" w:type="dxa"/>
              <w:left w:w="110" w:type="dxa"/>
              <w:bottom w:w="90" w:type="dxa"/>
              <w:right w:w="110" w:type="dxa"/>
            </w:tcMar>
            <w:vAlign w:val="center"/>
          </w:tcPr>
          <w:p w14:paraId="09B97C71"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All unit + integration tests pass; SonarQube quality gate passed; no critical security findings; successful Docker image build</w:t>
            </w:r>
          </w:p>
        </w:tc>
      </w:tr>
      <w:tr w:rsidR="003D3097" w:rsidRPr="003E7B33" w14:paraId="5D1B032F" w14:textId="77777777">
        <w:tblPrEx>
          <w:tblCellMar>
            <w:top w:w="0" w:type="dxa"/>
            <w:bottom w:w="0" w:type="dxa"/>
          </w:tblCellMar>
        </w:tblPrEx>
        <w:tc>
          <w:tcPr>
            <w:tcW w:w="2600" w:type="dxa"/>
            <w:shd w:val="clear" w:color="auto" w:fill="F2F6FA"/>
            <w:tcMar>
              <w:top w:w="90" w:type="dxa"/>
              <w:left w:w="110" w:type="dxa"/>
              <w:bottom w:w="90" w:type="dxa"/>
              <w:right w:w="110" w:type="dxa"/>
            </w:tcMar>
            <w:vAlign w:val="center"/>
          </w:tcPr>
          <w:p w14:paraId="752A3FAA"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Staging → Production</w:t>
            </w:r>
          </w:p>
        </w:tc>
        <w:tc>
          <w:tcPr>
            <w:tcW w:w="6800" w:type="dxa"/>
            <w:shd w:val="clear" w:color="auto" w:fill="F2F6FA"/>
            <w:tcMar>
              <w:top w:w="90" w:type="dxa"/>
              <w:left w:w="110" w:type="dxa"/>
              <w:bottom w:w="90" w:type="dxa"/>
              <w:right w:w="110" w:type="dxa"/>
            </w:tcMar>
            <w:vAlign w:val="center"/>
          </w:tcPr>
          <w:p w14:paraId="70D9583D"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All E2E, performance, and AI model validation tests pass; DAST scan clean; UAT sign-off from QA and safety officer; manual approval by Release Manager</w:t>
            </w:r>
          </w:p>
        </w:tc>
      </w:tr>
      <w:tr w:rsidR="003D3097" w:rsidRPr="003E7B33" w14:paraId="2CA19754"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05618FC"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Production Rollout</w:t>
            </w:r>
          </w:p>
        </w:tc>
        <w:tc>
          <w:tcPr>
            <w:tcW w:w="6800" w:type="dxa"/>
            <w:shd w:val="clear" w:color="auto" w:fill="FFFFFF"/>
            <w:tcMar>
              <w:top w:w="90" w:type="dxa"/>
              <w:left w:w="110" w:type="dxa"/>
              <w:bottom w:w="90" w:type="dxa"/>
              <w:right w:w="110" w:type="dxa"/>
            </w:tcMar>
            <w:vAlign w:val="center"/>
          </w:tcPr>
          <w:p w14:paraId="32095F81"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t>Canary/Blue-Green health checks pass (error rate, latency, detection-accuracy thresholds); automatic rollback if thresholds breached within the monitoring window</w:t>
            </w:r>
          </w:p>
        </w:tc>
      </w:tr>
    </w:tbl>
    <w:p w14:paraId="4E374596" w14:textId="77777777" w:rsidR="003D3097" w:rsidRPr="003E7B33" w:rsidRDefault="00000000">
      <w:pPr>
        <w:spacing w:before="100" w:after="260"/>
        <w:jc w:val="center"/>
        <w:rPr>
          <w:rFonts w:ascii="Times New Roman" w:hAnsi="Times New Roman" w:cs="Times New Roman"/>
          <w:sz w:val="24"/>
          <w:szCs w:val="24"/>
        </w:rPr>
      </w:pPr>
      <w:r w:rsidRPr="003E7B33">
        <w:rPr>
          <w:rFonts w:ascii="Times New Roman" w:hAnsi="Times New Roman" w:cs="Times New Roman"/>
          <w:i/>
          <w:iCs/>
          <w:color w:val="595959"/>
          <w:sz w:val="24"/>
          <w:szCs w:val="24"/>
        </w:rPr>
        <w:t>Table 5: Environment promotion gates</w:t>
      </w:r>
    </w:p>
    <w:p w14:paraId="66980CBD" w14:textId="22BC8912" w:rsidR="003D3097" w:rsidRPr="003E7B33" w:rsidRDefault="00000000" w:rsidP="003E7B33">
      <w:pPr>
        <w:rPr>
          <w:rFonts w:ascii="Times New Roman" w:hAnsi="Times New Roman" w:cs="Times New Roman"/>
          <w:sz w:val="24"/>
          <w:szCs w:val="24"/>
        </w:rPr>
      </w:pPr>
      <w:r w:rsidRPr="003E7B33">
        <w:rPr>
          <w:rFonts w:ascii="Times New Roman" w:hAnsi="Times New Roman" w:cs="Times New Roman"/>
          <w:b/>
          <w:bCs/>
          <w:color w:val="1F4E79"/>
          <w:sz w:val="24"/>
          <w:szCs w:val="24"/>
        </w:rPr>
        <w:t>7. Security, Quality, Notification, and Rollback Mechanisms</w:t>
      </w:r>
    </w:p>
    <w:p w14:paraId="722DACC3"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7.1 Security Controls</w:t>
      </w:r>
    </w:p>
    <w:p w14:paraId="5D49A994"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Vulnerability scanning — </w:t>
      </w:r>
      <w:r w:rsidRPr="003E7B33">
        <w:rPr>
          <w:rFonts w:ascii="Times New Roman" w:hAnsi="Times New Roman" w:cs="Times New Roman"/>
          <w:sz w:val="24"/>
          <w:szCs w:val="24"/>
        </w:rPr>
        <w:t>Container images and dependencies are scanned (Trivy/Snyk) on every build; the pipeline fails on critical/high-severity vulnerabilities.</w:t>
      </w:r>
    </w:p>
    <w:p w14:paraId="6DFB6C9A"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Secrets detection — </w:t>
      </w:r>
      <w:r w:rsidRPr="003E7B33">
        <w:rPr>
          <w:rFonts w:ascii="Times New Roman" w:hAnsi="Times New Roman" w:cs="Times New Roman"/>
          <w:sz w:val="24"/>
          <w:szCs w:val="24"/>
        </w:rPr>
        <w:t>GitLeaks/TruffleHog scan every commit to prevent API keys, tokens, or credentials for camera/IoT systems from being pushed to the repository.</w:t>
      </w:r>
    </w:p>
    <w:p w14:paraId="618247FB"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Secrets management — </w:t>
      </w:r>
      <w:r w:rsidRPr="003E7B33">
        <w:rPr>
          <w:rFonts w:ascii="Times New Roman" w:hAnsi="Times New Roman" w:cs="Times New Roman"/>
          <w:sz w:val="24"/>
          <w:szCs w:val="24"/>
        </w:rPr>
        <w:t>All credentials, database passwords, and API keys are stored in HashiCorp Vault or the cloud provider's secrets manager and injected at runtime — never hard-coded or stored in the pipeline configuration.</w:t>
      </w:r>
    </w:p>
    <w:p w14:paraId="5E1041B9"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RBAC — </w:t>
      </w:r>
      <w:r w:rsidRPr="003E7B33">
        <w:rPr>
          <w:rFonts w:ascii="Times New Roman" w:hAnsi="Times New Roman" w:cs="Times New Roman"/>
          <w:sz w:val="24"/>
          <w:szCs w:val="24"/>
        </w:rPr>
        <w:t>Access to pipeline configuration, deployment approvals, and production secrets is restricted through role-based access control aligned with least privilege.</w:t>
      </w:r>
    </w:p>
    <w:p w14:paraId="30B6325F"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Data encryption — </w:t>
      </w:r>
      <w:r w:rsidRPr="003E7B33">
        <w:rPr>
          <w:rFonts w:ascii="Times New Roman" w:hAnsi="Times New Roman" w:cs="Times New Roman"/>
          <w:sz w:val="24"/>
          <w:szCs w:val="24"/>
        </w:rPr>
        <w:t>Worker video, biometric wearable data, and location data are encrypted in transit (TLS) and at rest (AES-256), with encryption verified as part of the deployment configuration checks.</w:t>
      </w:r>
    </w:p>
    <w:p w14:paraId="58B72A05"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7.2 Code Quality Gates</w:t>
      </w:r>
    </w:p>
    <w:p w14:paraId="05D3F4E9"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Quality gate enforcement — </w:t>
      </w:r>
      <w:r w:rsidRPr="003E7B33">
        <w:rPr>
          <w:rFonts w:ascii="Times New Roman" w:hAnsi="Times New Roman" w:cs="Times New Roman"/>
          <w:sz w:val="24"/>
          <w:szCs w:val="24"/>
        </w:rPr>
        <w:t>SonarQube quality gates enforce minimum code coverage, maximum code duplication, and zero new critical/blocker issues before a pull request can be merged.</w:t>
      </w:r>
    </w:p>
    <w:p w14:paraId="2F67421F"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Mandatory peer review — </w:t>
      </w:r>
      <w:r w:rsidRPr="003E7B33">
        <w:rPr>
          <w:rFonts w:ascii="Times New Roman" w:hAnsi="Times New Roman" w:cs="Times New Roman"/>
          <w:sz w:val="24"/>
          <w:szCs w:val="24"/>
        </w:rPr>
        <w:t>A minimum of one peer approval is required on every pull request, in addition to all automated checks passing.</w:t>
      </w:r>
    </w:p>
    <w:p w14:paraId="276070EF"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7.3 Notification Mechanisms</w:t>
      </w:r>
    </w:p>
    <w:p w14:paraId="39D95A37"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Build/test notifications — </w:t>
      </w:r>
      <w:r w:rsidRPr="003E7B33">
        <w:rPr>
          <w:rFonts w:ascii="Times New Roman" w:hAnsi="Times New Roman" w:cs="Times New Roman"/>
          <w:sz w:val="24"/>
          <w:szCs w:val="24"/>
        </w:rPr>
        <w:t>Slack/Microsoft Teams channels receive real-time alerts for build failures, failed test stages, and security scan findings, tagged to the responsible team.</w:t>
      </w:r>
    </w:p>
    <w:p w14:paraId="6266BE34"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Incident escalation — </w:t>
      </w:r>
      <w:r w:rsidRPr="003E7B33">
        <w:rPr>
          <w:rFonts w:ascii="Times New Roman" w:hAnsi="Times New Roman" w:cs="Times New Roman"/>
          <w:sz w:val="24"/>
          <w:szCs w:val="24"/>
        </w:rPr>
        <w:t>PagerDuty escalates production incidents (e.g., alert-delivery service down) to on-call DevOps engineers within minutes.</w:t>
      </w:r>
    </w:p>
    <w:p w14:paraId="1A9BC302"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lastRenderedPageBreak/>
        <w:t xml:space="preserve">Stakeholder notification — </w:t>
      </w:r>
      <w:r w:rsidRPr="003E7B33">
        <w:rPr>
          <w:rFonts w:ascii="Times New Roman" w:hAnsi="Times New Roman" w:cs="Times New Roman"/>
          <w:sz w:val="24"/>
          <w:szCs w:val="24"/>
        </w:rPr>
        <w:t>Safety officers and compliance stakeholders are notified via email/dashboard when a new release affecting a safety-detection model is promoted to production.</w:t>
      </w:r>
    </w:p>
    <w:p w14:paraId="6494EFB4" w14:textId="77777777" w:rsidR="003D3097" w:rsidRPr="003E7B33" w:rsidRDefault="00000000">
      <w:pPr>
        <w:pStyle w:val="Heading2"/>
        <w:rPr>
          <w:rFonts w:ascii="Times New Roman" w:hAnsi="Times New Roman" w:cs="Times New Roman"/>
          <w:sz w:val="24"/>
          <w:szCs w:val="24"/>
        </w:rPr>
      </w:pPr>
      <w:r w:rsidRPr="003E7B33">
        <w:rPr>
          <w:rFonts w:ascii="Times New Roman" w:hAnsi="Times New Roman" w:cs="Times New Roman"/>
          <w:sz w:val="24"/>
          <w:szCs w:val="24"/>
        </w:rPr>
        <w:t>7.4 Rollback Mechanisms</w:t>
      </w:r>
    </w:p>
    <w:p w14:paraId="40BCAD46"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Automated rollback — </w:t>
      </w:r>
      <w:r w:rsidRPr="003E7B33">
        <w:rPr>
          <w:rFonts w:ascii="Times New Roman" w:hAnsi="Times New Roman" w:cs="Times New Roman"/>
          <w:sz w:val="24"/>
          <w:szCs w:val="24"/>
        </w:rPr>
        <w:t>Every production deployment uses Blue-Green or Canary strategy so the previous stable version remains running and can instantly receive 100% of traffic again if the new version fails health checks.</w:t>
      </w:r>
    </w:p>
    <w:p w14:paraId="21502AF3"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GitOps-based revert — </w:t>
      </w:r>
      <w:r w:rsidRPr="003E7B33">
        <w:rPr>
          <w:rFonts w:ascii="Times New Roman" w:hAnsi="Times New Roman" w:cs="Times New Roman"/>
          <w:sz w:val="24"/>
          <w:szCs w:val="24"/>
        </w:rPr>
        <w:t>Because all deployments are Git-driven (GitOps via Argo CD), reverting to any prior release is a single, auditable Git revert of the deployment manifest.</w:t>
      </w:r>
    </w:p>
    <w:p w14:paraId="1B8C81EC"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Automated health-based triggers — </w:t>
      </w:r>
      <w:r w:rsidRPr="003E7B33">
        <w:rPr>
          <w:rFonts w:ascii="Times New Roman" w:hAnsi="Times New Roman" w:cs="Times New Roman"/>
          <w:sz w:val="24"/>
          <w:szCs w:val="24"/>
        </w:rPr>
        <w:t>Prometheus alerting rules continuously watch error rate, alert-delivery latency, and AI-model confidence scores; a breach automatically triggers the rollback pipeline without waiting for human intervention.</w:t>
      </w:r>
    </w:p>
    <w:p w14:paraId="786105CF"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Audit trail — </w:t>
      </w:r>
      <w:r w:rsidRPr="003E7B33">
        <w:rPr>
          <w:rFonts w:ascii="Times New Roman" w:hAnsi="Times New Roman" w:cs="Times New Roman"/>
          <w:sz w:val="24"/>
          <w:szCs w:val="24"/>
        </w:rPr>
        <w:t>Every deployment, approval, and rollback event is logged immutably to support post-incident review and regulatory audits.</w:t>
      </w:r>
    </w:p>
    <w:p w14:paraId="3D28D68D" w14:textId="77777777" w:rsidR="003D3097" w:rsidRPr="003E7B33" w:rsidRDefault="00000000">
      <w:pPr>
        <w:pStyle w:val="Heading1"/>
        <w:rPr>
          <w:rFonts w:ascii="Times New Roman" w:hAnsi="Times New Roman" w:cs="Times New Roman"/>
          <w:sz w:val="24"/>
          <w:szCs w:val="24"/>
        </w:rPr>
      </w:pPr>
      <w:r w:rsidRPr="003E7B33">
        <w:rPr>
          <w:rFonts w:ascii="Times New Roman" w:hAnsi="Times New Roman" w:cs="Times New Roman"/>
          <w:sz w:val="24"/>
          <w:szCs w:val="24"/>
        </w:rPr>
        <w:t>8. Workflow Explanation: Commit to Deployment</w:t>
      </w:r>
    </w:p>
    <w:p w14:paraId="62BBBEE7"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This section explains the complete journey of a code change through the pipeline shown in Figure 1, tying every stage back to the platform's safety-critical requirements.</w:t>
      </w:r>
    </w:p>
    <w:p w14:paraId="5797A265"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Step 1 — Commit and Pull Request</w:t>
      </w:r>
    </w:p>
    <w:p w14:paraId="6F3DEDE8"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A developer implements a change (e.g., an improvement to the PPE-detection model or a fix to the hazardous-zone alert logic) on a feature branch and opens a pull request against the main branch. Branch protection rules require passing automated checks and at least one peer review before merge.</w:t>
      </w:r>
    </w:p>
    <w:p w14:paraId="35DCC8BB"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Step 2 — CI Trigger</w:t>
      </w:r>
    </w:p>
    <w:p w14:paraId="720D73B0"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A webhook automatically triggers the CI pipeline (Jenkins/GitHub Actions) on every push and pull request, ensuring immediate feedback without any manual step.</w:t>
      </w:r>
    </w:p>
    <w:p w14:paraId="091C2B44"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Step 3 — Build</w:t>
      </w:r>
    </w:p>
    <w:p w14:paraId="18B47ACA"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The pipeline builds the affected microservice(s) — compiling code, resolving dependencies, and producing a Docker image for each changed service (e.g., ai-inference-service, alert-service, dashboard-api).</w:t>
      </w:r>
    </w:p>
    <w:p w14:paraId="5ED75BDE"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Step 4 — Automated Testing</w:t>
      </w:r>
    </w:p>
    <w:p w14:paraId="06EC2E3E"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Unit tests run first for fast feedback, followed by integration tests that validate communication between services such as the IoT-data processor and the alerting engine. If the change touches an AI model artifact, the AI model validation stage benchmarks it against the labeled validation dataset.</w:t>
      </w:r>
    </w:p>
    <w:p w14:paraId="2DB6A4CA"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Step 5 — Code Quality Analysis</w:t>
      </w:r>
    </w:p>
    <w:p w14:paraId="52DCAFED"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SonarQube, ESLint/Pylint, and coverage tools analyze the code for bugs, code smells, duplication, and maintainability issues. The build fails if the configured quality gate is not met.</w:t>
      </w:r>
    </w:p>
    <w:p w14:paraId="7755E911"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lastRenderedPageBreak/>
        <w:t>Step 6 — Security Scanning</w:t>
      </w:r>
    </w:p>
    <w:p w14:paraId="35DB2671"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Static application security testing (SAST), dependency scanning, container image scanning (Trivy), and secret scanning run in parallel. Any critical/high vulnerability halts the pipeline and immediately notifies the security and DevOps teams.</w:t>
      </w:r>
    </w:p>
    <w:p w14:paraId="335E7ADE"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Step 7 — Packaging</w:t>
      </w:r>
    </w:p>
    <w:p w14:paraId="4A9C6ADE"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Once all quality and security gates pass, the pipeline builds an immutable, version-tagged Docker image for each service and pushes it to the private container registry, ready for deployment.</w:t>
      </w:r>
    </w:p>
    <w:p w14:paraId="6DBCA6C7"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Step 8 — Deploy to Staging</w:t>
      </w:r>
    </w:p>
    <w:p w14:paraId="79572237"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The new image is automatically deployed to the staging Kubernetes namespace using Helm. Smoke tests confirm basic health, followed by the full end-to-end and performance test suites, using simulated site cameras and sensor data.</w:t>
      </w:r>
    </w:p>
    <w:p w14:paraId="1EC896FC"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Step 9 — Manual Approval Gate</w:t>
      </w:r>
    </w:p>
    <w:p w14:paraId="105516E5"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Given the life-safety implications of the platform, promotion to production requires explicit sign-off from QA and the Release Manager (and, for AI model changes, a safety-compliance reviewer) after reviewing staging test results and UAT feedback.</w:t>
      </w:r>
    </w:p>
    <w:p w14:paraId="2B5BFE66"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Step 10 — Deploy to Production</w:t>
      </w:r>
    </w:p>
    <w:p w14:paraId="033B532B"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Upon approval, Argo CD/Helm performs a Blue-Green or Canary rollout: the new version initially receives a small percentage of live traffic (or runs alongside the old version) while key metrics are observed before a full cutover.</w:t>
      </w:r>
    </w:p>
    <w:p w14:paraId="15F2505F"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Step 11 — Monitoring and Notification</w:t>
      </w:r>
    </w:p>
    <w:p w14:paraId="0C020563"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Prometheus and Grafana continuously track service health, inference latency, and alert-delivery success; logs are centralized in the ELK stack. Any anomaly triggers immediate Slack/Teams/PagerDuty notifications to the responsible teams.</w:t>
      </w:r>
    </w:p>
    <w:p w14:paraId="44956C46" w14:textId="77777777" w:rsidR="003D3097" w:rsidRPr="003E7B33" w:rsidRDefault="00000000">
      <w:pPr>
        <w:pStyle w:val="Heading3"/>
        <w:rPr>
          <w:rFonts w:ascii="Times New Roman" w:hAnsi="Times New Roman" w:cs="Times New Roman"/>
          <w:sz w:val="24"/>
          <w:szCs w:val="24"/>
        </w:rPr>
      </w:pPr>
      <w:r w:rsidRPr="003E7B33">
        <w:rPr>
          <w:rFonts w:ascii="Times New Roman" w:hAnsi="Times New Roman" w:cs="Times New Roman"/>
          <w:sz w:val="24"/>
          <w:szCs w:val="24"/>
        </w:rPr>
        <w:t>Step 12 — Automated Rollback (if required)</w:t>
      </w:r>
    </w:p>
    <w:p w14:paraId="336793F2"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If monitored thresholds are breached — for example, a spike in alert-delivery latency or a drop in PPE-detection confidence — the pipeline automatically reverts traffic to the last known-stable release via the GitOps-managed deployment manifest, and the incident is logged and escalated for investigation.</w:t>
      </w:r>
    </w:p>
    <w:p w14:paraId="27A36E93" w14:textId="77777777" w:rsidR="003D3097" w:rsidRPr="003E7B33" w:rsidRDefault="00000000">
      <w:pPr>
        <w:rPr>
          <w:rFonts w:ascii="Times New Roman" w:hAnsi="Times New Roman" w:cs="Times New Roman"/>
          <w:sz w:val="24"/>
          <w:szCs w:val="24"/>
        </w:rPr>
      </w:pPr>
      <w:r w:rsidRPr="003E7B33">
        <w:rPr>
          <w:rFonts w:ascii="Times New Roman" w:hAnsi="Times New Roman" w:cs="Times New Roman"/>
          <w:sz w:val="24"/>
          <w:szCs w:val="24"/>
        </w:rPr>
        <w:br w:type="page"/>
      </w:r>
    </w:p>
    <w:p w14:paraId="43D5D811" w14:textId="77777777" w:rsidR="003D3097" w:rsidRPr="003E7B33" w:rsidRDefault="00000000">
      <w:pPr>
        <w:pStyle w:val="Heading1"/>
        <w:rPr>
          <w:rFonts w:ascii="Times New Roman" w:hAnsi="Times New Roman" w:cs="Times New Roman"/>
          <w:sz w:val="24"/>
          <w:szCs w:val="24"/>
        </w:rPr>
      </w:pPr>
      <w:r w:rsidRPr="003E7B33">
        <w:rPr>
          <w:rFonts w:ascii="Times New Roman" w:hAnsi="Times New Roman" w:cs="Times New Roman"/>
          <w:sz w:val="24"/>
          <w:szCs w:val="24"/>
        </w:rPr>
        <w:lastRenderedPageBreak/>
        <w:t>9. Expected Benefits of this CI/CD Design</w:t>
      </w:r>
    </w:p>
    <w:p w14:paraId="7DCED5C5"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Reduced workplace accidents — </w:t>
      </w:r>
      <w:r w:rsidRPr="003E7B33">
        <w:rPr>
          <w:rFonts w:ascii="Times New Roman" w:hAnsi="Times New Roman" w:cs="Times New Roman"/>
          <w:sz w:val="24"/>
          <w:szCs w:val="24"/>
        </w:rPr>
        <w:t>Faster, safer releases of PPE-detection and hazard-prediction improvements directly reduce the window during which unsafe conditions could go undetected.</w:t>
      </w:r>
    </w:p>
    <w:p w14:paraId="02EBDF5B"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Improved regulatory compliance — </w:t>
      </w:r>
      <w:r w:rsidRPr="003E7B33">
        <w:rPr>
          <w:rFonts w:ascii="Times New Roman" w:hAnsi="Times New Roman" w:cs="Times New Roman"/>
          <w:sz w:val="24"/>
          <w:szCs w:val="24"/>
        </w:rPr>
        <w:t>Automated, gated pipelines with audit logging ensure every change to a compliance-related feature is tested, reviewed, and traceable, supporting OSHA-type regulatory recordkeeping.</w:t>
      </w:r>
    </w:p>
    <w:p w14:paraId="2DE4520B"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Stronger data security — </w:t>
      </w:r>
      <w:r w:rsidRPr="003E7B33">
        <w:rPr>
          <w:rFonts w:ascii="Times New Roman" w:hAnsi="Times New Roman" w:cs="Times New Roman"/>
          <w:sz w:val="24"/>
          <w:szCs w:val="24"/>
        </w:rPr>
        <w:t>Layered security scanning and encrypted data handling protect sensitive worker video, biometric, and location data throughout the delivery process.</w:t>
      </w:r>
    </w:p>
    <w:p w14:paraId="2B2C3B61"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Higher system reliability — </w:t>
      </w:r>
      <w:r w:rsidRPr="003E7B33">
        <w:rPr>
          <w:rFonts w:ascii="Times New Roman" w:hAnsi="Times New Roman" w:cs="Times New Roman"/>
          <w:sz w:val="24"/>
          <w:szCs w:val="24"/>
        </w:rPr>
        <w:t>Automated rollback and canary deployments minimize downtime and the blast radius of any faulty release, supporting continuous, uninterrupted safety monitoring across all construction sites.</w:t>
      </w:r>
    </w:p>
    <w:p w14:paraId="5AEEB860"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Scalability for large projects — </w:t>
      </w:r>
      <w:r w:rsidRPr="003E7B33">
        <w:rPr>
          <w:rFonts w:ascii="Times New Roman" w:hAnsi="Times New Roman" w:cs="Times New Roman"/>
          <w:sz w:val="24"/>
          <w:szCs w:val="24"/>
        </w:rPr>
        <w:t>Independent microservice pipelines allow the platform to onboard new construction projects and scale services (video-ingestion, AI inference) without redesigning the delivery process.</w:t>
      </w:r>
    </w:p>
    <w:p w14:paraId="1324274D" w14:textId="77777777" w:rsidR="003D3097" w:rsidRPr="003E7B33" w:rsidRDefault="00000000">
      <w:pPr>
        <w:pStyle w:val="ListParagraph"/>
        <w:numPr>
          <w:ilvl w:val="0"/>
          <w:numId w:val="2"/>
        </w:numPr>
        <w:spacing w:after="90" w:line="268" w:lineRule="auto"/>
        <w:rPr>
          <w:rFonts w:ascii="Times New Roman" w:hAnsi="Times New Roman" w:cs="Times New Roman"/>
          <w:sz w:val="24"/>
          <w:szCs w:val="24"/>
        </w:rPr>
      </w:pPr>
      <w:r w:rsidRPr="003E7B33">
        <w:rPr>
          <w:rFonts w:ascii="Times New Roman" w:hAnsi="Times New Roman" w:cs="Times New Roman"/>
          <w:b/>
          <w:bCs/>
          <w:sz w:val="24"/>
          <w:szCs w:val="24"/>
        </w:rPr>
        <w:t xml:space="preserve">Operational transparency — </w:t>
      </w:r>
      <w:r w:rsidRPr="003E7B33">
        <w:rPr>
          <w:rFonts w:ascii="Times New Roman" w:hAnsi="Times New Roman" w:cs="Times New Roman"/>
          <w:sz w:val="24"/>
          <w:szCs w:val="24"/>
        </w:rPr>
        <w:t>Real-time notifications and dashboards give engineering, safety, and management stakeholders full visibility into release status and system health.</w:t>
      </w:r>
    </w:p>
    <w:p w14:paraId="6D046214" w14:textId="77777777" w:rsidR="003D3097" w:rsidRPr="003E7B33" w:rsidRDefault="00000000">
      <w:pPr>
        <w:pStyle w:val="Heading1"/>
        <w:rPr>
          <w:rFonts w:ascii="Times New Roman" w:hAnsi="Times New Roman" w:cs="Times New Roman"/>
          <w:sz w:val="24"/>
          <w:szCs w:val="24"/>
        </w:rPr>
      </w:pPr>
      <w:r w:rsidRPr="003E7B33">
        <w:rPr>
          <w:rFonts w:ascii="Times New Roman" w:hAnsi="Times New Roman" w:cs="Times New Roman"/>
          <w:sz w:val="24"/>
          <w:szCs w:val="24"/>
        </w:rPr>
        <w:t>10. Conclusion</w:t>
      </w:r>
    </w:p>
    <w:p w14:paraId="5C338071" w14:textId="77777777" w:rsidR="003D3097" w:rsidRPr="003E7B33" w:rsidRDefault="00000000">
      <w:pPr>
        <w:spacing w:after="160" w:line="276" w:lineRule="auto"/>
        <w:jc w:val="both"/>
        <w:rPr>
          <w:rFonts w:ascii="Times New Roman" w:hAnsi="Times New Roman" w:cs="Times New Roman"/>
          <w:sz w:val="24"/>
          <w:szCs w:val="24"/>
        </w:rPr>
      </w:pPr>
      <w:r w:rsidRPr="003E7B33">
        <w:rPr>
          <w:rFonts w:ascii="Times New Roman" w:hAnsi="Times New Roman" w:cs="Times New Roman"/>
          <w:sz w:val="24"/>
          <w:szCs w:val="24"/>
        </w:rPr>
        <w:t>The CI/CD pipeline presented in this document translates the safety-critical, multi-tenant, AI/IoT-driven requirements of the Construction Site Safety Monitoring Platform into a concrete, automated software delivery process. By combining industry-standard CI/CD tooling with platform-specific safeguards — AI model validation, IoT integration testing, layered security scanning, gated multi-environment promotion, and automated health-based rollback — the design ensures that every release reaching a live construction site has been rigorously verified, is fully traceable, and can be reverted within minutes if it does not perform as expected. This directly supports the platform's core mission: continuously protecting construction workers through reliable, rapidly and safely delivered software.</w:t>
      </w:r>
    </w:p>
    <w:sectPr w:rsidR="003D3097" w:rsidRPr="003E7B33">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B04F4" w14:textId="77777777" w:rsidR="001B57E5" w:rsidRDefault="001B57E5">
      <w:r>
        <w:separator/>
      </w:r>
    </w:p>
  </w:endnote>
  <w:endnote w:type="continuationSeparator" w:id="0">
    <w:p w14:paraId="5D9A10C6" w14:textId="77777777" w:rsidR="001B57E5" w:rsidRDefault="001B5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C662" w14:textId="77777777" w:rsidR="003D3097"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E7B33">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3E7B33">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E0644" w14:textId="77777777" w:rsidR="001B57E5" w:rsidRDefault="001B57E5">
      <w:r>
        <w:separator/>
      </w:r>
    </w:p>
  </w:footnote>
  <w:footnote w:type="continuationSeparator" w:id="0">
    <w:p w14:paraId="6012988C" w14:textId="77777777" w:rsidR="001B57E5" w:rsidRDefault="001B5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2C5C" w14:textId="77777777" w:rsidR="003D3097" w:rsidRDefault="003D30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85EC0"/>
    <w:multiLevelType w:val="hybridMultilevel"/>
    <w:tmpl w:val="662E8AC8"/>
    <w:lvl w:ilvl="0" w:tplc="ACBE6970">
      <w:start w:val="1"/>
      <w:numFmt w:val="bullet"/>
      <w:lvlText w:val="●"/>
      <w:lvlJc w:val="left"/>
      <w:pPr>
        <w:ind w:left="403" w:hanging="259"/>
      </w:pPr>
    </w:lvl>
    <w:lvl w:ilvl="1" w:tplc="812AA90C">
      <w:start w:val="1"/>
      <w:numFmt w:val="bullet"/>
      <w:lvlText w:val="○"/>
      <w:lvlJc w:val="left"/>
      <w:pPr>
        <w:ind w:left="792" w:hanging="259"/>
      </w:pPr>
    </w:lvl>
    <w:lvl w:ilvl="2" w:tplc="D7963144">
      <w:numFmt w:val="decimal"/>
      <w:lvlText w:val=""/>
      <w:lvlJc w:val="left"/>
    </w:lvl>
    <w:lvl w:ilvl="3" w:tplc="445E3128">
      <w:numFmt w:val="decimal"/>
      <w:lvlText w:val=""/>
      <w:lvlJc w:val="left"/>
    </w:lvl>
    <w:lvl w:ilvl="4" w:tplc="2084DC60">
      <w:numFmt w:val="decimal"/>
      <w:lvlText w:val=""/>
      <w:lvlJc w:val="left"/>
    </w:lvl>
    <w:lvl w:ilvl="5" w:tplc="D97645CA">
      <w:numFmt w:val="decimal"/>
      <w:lvlText w:val=""/>
      <w:lvlJc w:val="left"/>
    </w:lvl>
    <w:lvl w:ilvl="6" w:tplc="DD5E143E">
      <w:numFmt w:val="decimal"/>
      <w:lvlText w:val=""/>
      <w:lvlJc w:val="left"/>
    </w:lvl>
    <w:lvl w:ilvl="7" w:tplc="1360C604">
      <w:numFmt w:val="decimal"/>
      <w:lvlText w:val=""/>
      <w:lvlJc w:val="left"/>
    </w:lvl>
    <w:lvl w:ilvl="8" w:tplc="0A9C8224">
      <w:numFmt w:val="decimal"/>
      <w:lvlText w:val=""/>
      <w:lvlJc w:val="left"/>
    </w:lvl>
  </w:abstractNum>
  <w:abstractNum w:abstractNumId="1" w15:restartNumberingAfterBreak="0">
    <w:nsid w:val="712A17CE"/>
    <w:multiLevelType w:val="hybridMultilevel"/>
    <w:tmpl w:val="D31A0290"/>
    <w:lvl w:ilvl="0" w:tplc="B6DA62D6">
      <w:start w:val="1"/>
      <w:numFmt w:val="bullet"/>
      <w:lvlText w:val="●"/>
      <w:lvlJc w:val="left"/>
      <w:pPr>
        <w:ind w:left="720" w:hanging="360"/>
      </w:pPr>
    </w:lvl>
    <w:lvl w:ilvl="1" w:tplc="36129868">
      <w:start w:val="1"/>
      <w:numFmt w:val="bullet"/>
      <w:lvlText w:val="○"/>
      <w:lvlJc w:val="left"/>
      <w:pPr>
        <w:ind w:left="1440" w:hanging="360"/>
      </w:pPr>
    </w:lvl>
    <w:lvl w:ilvl="2" w:tplc="346A5196">
      <w:start w:val="1"/>
      <w:numFmt w:val="bullet"/>
      <w:lvlText w:val="■"/>
      <w:lvlJc w:val="left"/>
      <w:pPr>
        <w:ind w:left="2160" w:hanging="360"/>
      </w:pPr>
    </w:lvl>
    <w:lvl w:ilvl="3" w:tplc="65F6F140">
      <w:start w:val="1"/>
      <w:numFmt w:val="bullet"/>
      <w:lvlText w:val="●"/>
      <w:lvlJc w:val="left"/>
      <w:pPr>
        <w:ind w:left="2880" w:hanging="360"/>
      </w:pPr>
    </w:lvl>
    <w:lvl w:ilvl="4" w:tplc="D400AAF4">
      <w:start w:val="1"/>
      <w:numFmt w:val="bullet"/>
      <w:lvlText w:val="○"/>
      <w:lvlJc w:val="left"/>
      <w:pPr>
        <w:ind w:left="3600" w:hanging="360"/>
      </w:pPr>
    </w:lvl>
    <w:lvl w:ilvl="5" w:tplc="E6D86ECA">
      <w:start w:val="1"/>
      <w:numFmt w:val="bullet"/>
      <w:lvlText w:val="■"/>
      <w:lvlJc w:val="left"/>
      <w:pPr>
        <w:ind w:left="4320" w:hanging="360"/>
      </w:pPr>
    </w:lvl>
    <w:lvl w:ilvl="6" w:tplc="DD9EA8CC">
      <w:start w:val="1"/>
      <w:numFmt w:val="bullet"/>
      <w:lvlText w:val="●"/>
      <w:lvlJc w:val="left"/>
      <w:pPr>
        <w:ind w:left="5040" w:hanging="360"/>
      </w:pPr>
    </w:lvl>
    <w:lvl w:ilvl="7" w:tplc="21F4EEF8">
      <w:start w:val="1"/>
      <w:numFmt w:val="bullet"/>
      <w:lvlText w:val="●"/>
      <w:lvlJc w:val="left"/>
      <w:pPr>
        <w:ind w:left="5760" w:hanging="360"/>
      </w:pPr>
    </w:lvl>
    <w:lvl w:ilvl="8" w:tplc="26DAFB56">
      <w:start w:val="1"/>
      <w:numFmt w:val="bullet"/>
      <w:lvlText w:val="●"/>
      <w:lvlJc w:val="left"/>
      <w:pPr>
        <w:ind w:left="6480" w:hanging="360"/>
      </w:pPr>
    </w:lvl>
  </w:abstractNum>
  <w:num w:numId="1" w16cid:durableId="1004091518">
    <w:abstractNumId w:val="1"/>
    <w:lvlOverride w:ilvl="0">
      <w:startOverride w:val="1"/>
    </w:lvlOverride>
  </w:num>
  <w:num w:numId="2" w16cid:durableId="1684941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097"/>
    <w:rsid w:val="001B57E5"/>
    <w:rsid w:val="003D3097"/>
    <w:rsid w:val="003E7B33"/>
    <w:rsid w:val="00583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3B484"/>
  <w15:docId w15:val="{97604873-D50E-4146-AE58-E8063FE97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60" w:after="140"/>
      <w:outlineLvl w:val="1"/>
    </w:pPr>
    <w:rPr>
      <w:b/>
      <w:bCs/>
      <w:color w:val="2E75B6"/>
      <w:sz w:val="25"/>
      <w:szCs w:val="25"/>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3763</Words>
  <Characters>21450</Characters>
  <Application>Microsoft Office Word</Application>
  <DocSecurity>0</DocSecurity>
  <Lines>178</Lines>
  <Paragraphs>50</Paragraphs>
  <ScaleCrop>false</ScaleCrop>
  <Company/>
  <LinksUpToDate>false</LinksUpToDate>
  <CharactersWithSpaces>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dumbo6295@gmail.com</cp:lastModifiedBy>
  <cp:revision>2</cp:revision>
  <dcterms:created xsi:type="dcterms:W3CDTF">2026-08-19T05:31:00Z</dcterms:created>
  <dcterms:modified xsi:type="dcterms:W3CDTF">2026-08-19T05:36:00Z</dcterms:modified>
</cp:coreProperties>
</file>