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36B5" w14:textId="77777777" w:rsidR="00FA0740" w:rsidRPr="00FA0740" w:rsidRDefault="00FA0740" w:rsidP="00FA0740">
      <w:pPr>
        <w:spacing w:after="600"/>
        <w:rPr>
          <w:rFonts w:ascii="Times New Roman" w:hAnsi="Times New Roman" w:cs="Times New Roman"/>
          <w:b/>
          <w:bCs/>
          <w:color w:val="000000"/>
          <w:sz w:val="24"/>
          <w:szCs w:val="24"/>
        </w:rPr>
      </w:pPr>
    </w:p>
    <w:p w14:paraId="36F66663" w14:textId="25C2A4EE" w:rsidR="00FA0740" w:rsidRPr="00FA0740" w:rsidRDefault="00FA0740">
      <w:pPr>
        <w:spacing w:after="600"/>
        <w:jc w:val="center"/>
        <w:rPr>
          <w:rFonts w:ascii="Times New Roman" w:hAnsi="Times New Roman" w:cs="Times New Roman"/>
          <w:b/>
          <w:bCs/>
          <w:color w:val="000000"/>
          <w:sz w:val="24"/>
          <w:szCs w:val="24"/>
        </w:rPr>
      </w:pPr>
      <w:r w:rsidRPr="00FA0740">
        <w:rPr>
          <w:rFonts w:ascii="Times New Roman" w:hAnsi="Times New Roman" w:cs="Times New Roman"/>
          <w:noProof/>
          <w:sz w:val="24"/>
          <w:szCs w:val="24"/>
        </w:rPr>
        <w:drawing>
          <wp:inline distT="0" distB="0" distL="0" distR="0" wp14:anchorId="373E0472" wp14:editId="613D55EA">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5"/>
                    <a:stretch>
                      <a:fillRect/>
                    </a:stretch>
                  </pic:blipFill>
                  <pic:spPr>
                    <a:xfrm>
                      <a:off x="0" y="0"/>
                      <a:ext cx="6057900" cy="1040130"/>
                    </a:xfrm>
                    <a:prstGeom prst="rect">
                      <a:avLst/>
                    </a:prstGeom>
                  </pic:spPr>
                </pic:pic>
              </a:graphicData>
            </a:graphic>
          </wp:inline>
        </w:drawing>
      </w:r>
    </w:p>
    <w:p w14:paraId="1ED0CD75" w14:textId="7B318CE0" w:rsidR="000E0571" w:rsidRPr="00FA0740" w:rsidRDefault="00000000">
      <w:pPr>
        <w:spacing w:after="600"/>
        <w:jc w:val="center"/>
        <w:rPr>
          <w:rFonts w:ascii="Times New Roman" w:hAnsi="Times New Roman" w:cs="Times New Roman"/>
          <w:b/>
          <w:bCs/>
          <w:color w:val="000000"/>
          <w:sz w:val="24"/>
          <w:szCs w:val="24"/>
        </w:rPr>
      </w:pPr>
      <w:r w:rsidRPr="00FA0740">
        <w:rPr>
          <w:rFonts w:ascii="Times New Roman" w:hAnsi="Times New Roman" w:cs="Times New Roman"/>
          <w:b/>
          <w:bCs/>
          <w:color w:val="000000"/>
          <w:sz w:val="24"/>
          <w:szCs w:val="24"/>
        </w:rPr>
        <w:t>AI-Driven Construction Site Safety Monitoring Platform</w:t>
      </w:r>
    </w:p>
    <w:p w14:paraId="50235212" w14:textId="77777777" w:rsidR="00FA0740" w:rsidRPr="00FA0740" w:rsidRDefault="00FA0740">
      <w:pPr>
        <w:spacing w:after="600"/>
        <w:jc w:val="center"/>
        <w:rPr>
          <w:rFonts w:ascii="Times New Roman" w:hAnsi="Times New Roman" w:cs="Times New Roman"/>
          <w:sz w:val="24"/>
          <w:szCs w:val="24"/>
        </w:rPr>
      </w:pPr>
    </w:p>
    <w:p w14:paraId="7F1C5A72" w14:textId="77777777" w:rsidR="00FA0740" w:rsidRPr="00FA0740" w:rsidRDefault="00FA0740" w:rsidP="00FA0740">
      <w:pPr>
        <w:jc w:val="center"/>
        <w:rPr>
          <w:rFonts w:ascii="Times New Roman" w:hAnsi="Times New Roman" w:cs="Times New Roman"/>
          <w:b/>
          <w:bCs/>
          <w:sz w:val="24"/>
          <w:szCs w:val="24"/>
        </w:rPr>
      </w:pPr>
      <w:r w:rsidRPr="00FA0740">
        <w:rPr>
          <w:rFonts w:ascii="Times New Roman" w:hAnsi="Times New Roman" w:cs="Times New Roman"/>
          <w:b/>
          <w:bCs/>
          <w:sz w:val="24"/>
          <w:szCs w:val="24"/>
        </w:rPr>
        <w:t>CSA1012 — SOFTWARE ENGINEERING</w:t>
      </w:r>
    </w:p>
    <w:p w14:paraId="7DC6C943" w14:textId="77777777" w:rsidR="00FA0740" w:rsidRPr="00FA0740" w:rsidRDefault="00FA0740" w:rsidP="00FA0740">
      <w:pPr>
        <w:jc w:val="center"/>
        <w:rPr>
          <w:rFonts w:ascii="Times New Roman" w:hAnsi="Times New Roman" w:cs="Times New Roman"/>
          <w:sz w:val="24"/>
          <w:szCs w:val="24"/>
        </w:rPr>
      </w:pPr>
    </w:p>
    <w:p w14:paraId="4E24074D" w14:textId="77777777" w:rsidR="00FA0740" w:rsidRPr="00FA0740" w:rsidRDefault="00FA0740" w:rsidP="00FA0740">
      <w:pPr>
        <w:jc w:val="center"/>
        <w:rPr>
          <w:rFonts w:ascii="Times New Roman" w:hAnsi="Times New Roman" w:cs="Times New Roman"/>
          <w:i/>
          <w:iCs/>
          <w:sz w:val="24"/>
          <w:szCs w:val="24"/>
        </w:rPr>
      </w:pPr>
      <w:r w:rsidRPr="00FA0740">
        <w:rPr>
          <w:rFonts w:ascii="Times New Roman" w:hAnsi="Times New Roman" w:cs="Times New Roman"/>
          <w:i/>
          <w:iCs/>
          <w:sz w:val="24"/>
          <w:szCs w:val="24"/>
        </w:rPr>
        <w:t>towards the award of the degree of</w:t>
      </w:r>
    </w:p>
    <w:p w14:paraId="5738E778" w14:textId="77777777" w:rsidR="00FA0740" w:rsidRPr="00FA0740" w:rsidRDefault="00FA0740" w:rsidP="00FA0740">
      <w:pPr>
        <w:jc w:val="center"/>
        <w:rPr>
          <w:rFonts w:ascii="Times New Roman" w:hAnsi="Times New Roman" w:cs="Times New Roman"/>
          <w:sz w:val="24"/>
          <w:szCs w:val="24"/>
        </w:rPr>
      </w:pPr>
    </w:p>
    <w:p w14:paraId="3D14BFE9"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b/>
          <w:bCs/>
          <w:sz w:val="24"/>
          <w:szCs w:val="24"/>
        </w:rPr>
        <w:t>BACHELOR OF TECHNOLOGY</w:t>
      </w:r>
    </w:p>
    <w:p w14:paraId="601314E6"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sz w:val="24"/>
          <w:szCs w:val="24"/>
        </w:rPr>
        <w:t>IN</w:t>
      </w:r>
    </w:p>
    <w:p w14:paraId="5715B1CA" w14:textId="77777777" w:rsidR="00FA0740" w:rsidRPr="00FA0740" w:rsidRDefault="00FA0740" w:rsidP="00FA0740">
      <w:pPr>
        <w:jc w:val="center"/>
        <w:rPr>
          <w:rFonts w:ascii="Times New Roman" w:hAnsi="Times New Roman" w:cs="Times New Roman"/>
          <w:b/>
          <w:bCs/>
          <w:sz w:val="24"/>
          <w:szCs w:val="24"/>
        </w:rPr>
      </w:pPr>
      <w:r w:rsidRPr="00FA0740">
        <w:rPr>
          <w:rFonts w:ascii="Times New Roman" w:hAnsi="Times New Roman" w:cs="Times New Roman"/>
          <w:b/>
          <w:bCs/>
          <w:sz w:val="24"/>
          <w:szCs w:val="24"/>
        </w:rPr>
        <w:t>COMPUTER SCIENCE (AI)</w:t>
      </w:r>
    </w:p>
    <w:p w14:paraId="76528459" w14:textId="77777777" w:rsidR="00FA0740" w:rsidRPr="00FA0740" w:rsidRDefault="00FA0740" w:rsidP="00FA0740">
      <w:pPr>
        <w:jc w:val="center"/>
        <w:rPr>
          <w:rFonts w:ascii="Times New Roman" w:hAnsi="Times New Roman" w:cs="Times New Roman"/>
          <w:sz w:val="24"/>
          <w:szCs w:val="24"/>
        </w:rPr>
      </w:pPr>
    </w:p>
    <w:p w14:paraId="56AC2EBC"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sz w:val="24"/>
          <w:szCs w:val="24"/>
        </w:rPr>
        <w:t>Submitted by</w:t>
      </w:r>
    </w:p>
    <w:p w14:paraId="2689CB6C" w14:textId="77777777" w:rsidR="00FA0740" w:rsidRPr="00FA0740" w:rsidRDefault="00FA0740" w:rsidP="00FA0740">
      <w:pPr>
        <w:jc w:val="center"/>
        <w:rPr>
          <w:rFonts w:ascii="Times New Roman" w:hAnsi="Times New Roman" w:cs="Times New Roman"/>
          <w:sz w:val="24"/>
          <w:szCs w:val="24"/>
        </w:rPr>
      </w:pPr>
    </w:p>
    <w:p w14:paraId="0F4DC202" w14:textId="77777777" w:rsidR="00FA0740" w:rsidRPr="00FA0740" w:rsidRDefault="00FA0740" w:rsidP="00FA0740">
      <w:pPr>
        <w:jc w:val="center"/>
        <w:rPr>
          <w:rFonts w:ascii="Times New Roman" w:hAnsi="Times New Roman" w:cs="Times New Roman"/>
          <w:b/>
          <w:bCs/>
          <w:sz w:val="24"/>
          <w:szCs w:val="24"/>
        </w:rPr>
      </w:pPr>
      <w:r w:rsidRPr="00FA0740">
        <w:rPr>
          <w:rFonts w:ascii="Times New Roman" w:hAnsi="Times New Roman" w:cs="Times New Roman"/>
          <w:b/>
          <w:bCs/>
          <w:sz w:val="24"/>
          <w:szCs w:val="24"/>
        </w:rPr>
        <w:t>K.P. SREENATH REDDY (192373049)</w:t>
      </w:r>
    </w:p>
    <w:p w14:paraId="35187D0D" w14:textId="77777777" w:rsidR="00FA0740" w:rsidRPr="00FA0740" w:rsidRDefault="00FA0740" w:rsidP="00FA0740">
      <w:pPr>
        <w:jc w:val="center"/>
        <w:rPr>
          <w:rFonts w:ascii="Times New Roman" w:hAnsi="Times New Roman" w:cs="Times New Roman"/>
          <w:sz w:val="24"/>
          <w:szCs w:val="24"/>
        </w:rPr>
      </w:pPr>
    </w:p>
    <w:p w14:paraId="078229A7"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sz w:val="24"/>
          <w:szCs w:val="24"/>
        </w:rPr>
        <w:t>Under the Supervision of</w:t>
      </w:r>
    </w:p>
    <w:p w14:paraId="27849B8D" w14:textId="77777777" w:rsidR="00FA0740" w:rsidRPr="00FA0740" w:rsidRDefault="00FA0740" w:rsidP="00FA0740">
      <w:pPr>
        <w:jc w:val="center"/>
        <w:rPr>
          <w:rFonts w:ascii="Times New Roman" w:hAnsi="Times New Roman" w:cs="Times New Roman"/>
          <w:sz w:val="24"/>
          <w:szCs w:val="24"/>
        </w:rPr>
      </w:pPr>
    </w:p>
    <w:p w14:paraId="25502653"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b/>
          <w:bCs/>
          <w:sz w:val="24"/>
          <w:szCs w:val="24"/>
        </w:rPr>
        <w:t>DR ANITADAVAMANI K</w:t>
      </w:r>
    </w:p>
    <w:p w14:paraId="0EDAF72D"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b/>
          <w:bCs/>
          <w:sz w:val="24"/>
          <w:szCs w:val="24"/>
        </w:rPr>
        <w:t>SIMATS ENGINEERING</w:t>
      </w:r>
    </w:p>
    <w:p w14:paraId="01493598"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sz w:val="24"/>
          <w:szCs w:val="24"/>
        </w:rPr>
        <w:t>Saveetha Institute of Medical and Technical Sciences</w:t>
      </w:r>
    </w:p>
    <w:p w14:paraId="7099BD31"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sz w:val="24"/>
          <w:szCs w:val="24"/>
        </w:rPr>
        <w:t>Chennai — 602105</w:t>
      </w:r>
    </w:p>
    <w:p w14:paraId="54FBEAC0" w14:textId="77777777" w:rsidR="00FA0740" w:rsidRPr="00FA0740" w:rsidRDefault="00FA0740" w:rsidP="00FA0740">
      <w:pPr>
        <w:jc w:val="center"/>
        <w:rPr>
          <w:rFonts w:ascii="Times New Roman" w:hAnsi="Times New Roman" w:cs="Times New Roman"/>
          <w:sz w:val="24"/>
          <w:szCs w:val="24"/>
        </w:rPr>
      </w:pPr>
      <w:r w:rsidRPr="00FA0740">
        <w:rPr>
          <w:rFonts w:ascii="Times New Roman" w:hAnsi="Times New Roman" w:cs="Times New Roman"/>
          <w:b/>
          <w:bCs/>
          <w:sz w:val="24"/>
          <w:szCs w:val="24"/>
        </w:rPr>
        <w:t>Aug 2026</w:t>
      </w:r>
    </w:p>
    <w:p w14:paraId="7DAE8975" w14:textId="77777777" w:rsidR="00FA0740" w:rsidRPr="00FA0740" w:rsidRDefault="00FA0740">
      <w:pPr>
        <w:pStyle w:val="Heading1"/>
        <w:spacing w:before="320" w:after="160"/>
        <w:rPr>
          <w:rFonts w:ascii="Times New Roman" w:hAnsi="Times New Roman" w:cs="Times New Roman"/>
          <w:b/>
          <w:bCs/>
          <w:color w:val="1F3864"/>
          <w:sz w:val="24"/>
          <w:szCs w:val="24"/>
        </w:rPr>
      </w:pPr>
    </w:p>
    <w:p w14:paraId="35FBACA7" w14:textId="77777777" w:rsidR="00FA0740" w:rsidRPr="00FA0740" w:rsidRDefault="00FA0740">
      <w:pPr>
        <w:pStyle w:val="Heading1"/>
        <w:spacing w:before="320" w:after="160"/>
        <w:rPr>
          <w:rFonts w:ascii="Times New Roman" w:hAnsi="Times New Roman" w:cs="Times New Roman"/>
          <w:b/>
          <w:bCs/>
          <w:color w:val="1F3864"/>
          <w:sz w:val="24"/>
          <w:szCs w:val="24"/>
        </w:rPr>
      </w:pPr>
    </w:p>
    <w:p w14:paraId="1B6DFC43" w14:textId="77777777" w:rsidR="00FA0740" w:rsidRPr="00FA0740" w:rsidRDefault="00FA0740">
      <w:pPr>
        <w:pStyle w:val="Heading1"/>
        <w:spacing w:before="320" w:after="160"/>
        <w:rPr>
          <w:rFonts w:ascii="Times New Roman" w:hAnsi="Times New Roman" w:cs="Times New Roman"/>
          <w:b/>
          <w:bCs/>
          <w:color w:val="1F3864"/>
          <w:sz w:val="24"/>
          <w:szCs w:val="24"/>
        </w:rPr>
      </w:pPr>
    </w:p>
    <w:p w14:paraId="176174DF" w14:textId="77777777" w:rsidR="00FA0740" w:rsidRPr="00FA0740" w:rsidRDefault="00FA0740">
      <w:pPr>
        <w:pStyle w:val="Heading1"/>
        <w:spacing w:before="320" w:after="160"/>
        <w:rPr>
          <w:rFonts w:ascii="Times New Roman" w:hAnsi="Times New Roman" w:cs="Times New Roman"/>
          <w:b/>
          <w:bCs/>
          <w:color w:val="1F3864"/>
          <w:sz w:val="24"/>
          <w:szCs w:val="24"/>
        </w:rPr>
      </w:pPr>
    </w:p>
    <w:p w14:paraId="2D9945CA" w14:textId="77777777" w:rsidR="00FA0740" w:rsidRPr="00FA0740" w:rsidRDefault="00FA0740">
      <w:pPr>
        <w:pStyle w:val="Heading1"/>
        <w:spacing w:before="320" w:after="160"/>
        <w:rPr>
          <w:rFonts w:ascii="Times New Roman" w:hAnsi="Times New Roman" w:cs="Times New Roman"/>
          <w:b/>
          <w:bCs/>
          <w:color w:val="1F3864"/>
          <w:sz w:val="24"/>
          <w:szCs w:val="24"/>
        </w:rPr>
      </w:pPr>
    </w:p>
    <w:p w14:paraId="0CBA1CD4" w14:textId="2CD83679"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lastRenderedPageBreak/>
        <w:t>Abstract</w:t>
      </w:r>
    </w:p>
    <w:p w14:paraId="5AF0AE15"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Construction sites remain among the most hazardous industrial environments worldwide, characterised by frequent struck-by, fall, and equipment-collision accidents caused by unsafe practices, inadequate supervision, and non-compliance with personal protective equipment (PPE) requirements. Traditional manual inspection methods are periodic, labour-intensive, and unable to detect hazards as they emerge. This report presents a structured literature survey supporting the design of an AI-Driven Construction Site Safety Monitoring Platform that fuses computer vision, wearable sensing, Internet of Things (IoT) devices, and machine learning to continuously monitor workers, equipment, hazardous zones, and environmental conditions. Twenty-two peer-reviewed and credible research sources spanning 2017-2026 are reviewed and organised into five thematic clusters: computer-vision-based PPE compliance detection, wearable and physiological sensing, proximity and collision-avoidance systems, machine-learning-based accident risk prediction, and integrated IoT/BIM safety platforms. The reviewed literature is compared on accuracy, real-time performance, scalability, and methodology, followed by an analysis of common limitations, the resulting research gap, and recommended future research directions. The survey concludes that while individual detection and prediction techniques have matured considerably, an integrated, scalable, multi-project platform that fuses vision, wearable, and environmental data streams into a single predictive and proactive safety-management system remains an open research problem.</w:t>
      </w:r>
    </w:p>
    <w:p w14:paraId="5E5336E4"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1. Introduction</w:t>
      </w:r>
    </w:p>
    <w:p w14:paraId="396DABCF"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1.1 Industry Context</w:t>
      </w:r>
    </w:p>
    <w:p w14:paraId="3F64FC04"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The construction industry consistently records some of the highest rates of occupational injury and fatality among all major industrial sectors. Hazards on active sites arise from a combination of unsafe worker behaviour, insufficient supervision, heavy-equipment operation in congested spaces, and inconsistent enforcement of PPE and safety-zone regulations. Conventional safety management relies heavily on manual site walk-throughs and periodic audits performed by safety officers, which are inherently reactive, cannot scale across large or multiple concurrent sites, and are unable to provide the continuous, real-time hazard detection that dynamic construction environments demand.</w:t>
      </w:r>
    </w:p>
    <w:p w14:paraId="2024FACC"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Advances in computer vision, low-cost IoT sensing, wearable devices, and machine learning have opened a viable path toward continuous, automated safety monitoring. Object-detection architectures such as YOLO and Mask R-CNN, combined with wearable physiological and location sensors, now allow near real-time identification of PPE non-compliance, unsafe proximity to machinery, and physiologically risky states such as fatigue or heat stress. These technologies form the foundation for an integrated AI-driven safety-monitoring platform capable of supporting multiple concurrent projects.</w:t>
      </w:r>
    </w:p>
    <w:p w14:paraId="45B639AD"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1.2 Problem Statement</w:t>
      </w:r>
    </w:p>
    <w:p w14:paraId="7ACF8C51"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The problem addressed by this report is the design and development of an AI-driven Construction Site Safety Monitoring Platform that continuously monitors workers, heavy equipment, hazardous zones, and environmental conditions using IoT devices, computer vision, wearable sensors, and artificial intelligence. The platform must analyse real-time video streams, worker locations, equipment status, </w:t>
      </w:r>
      <w:r w:rsidRPr="00FA0740">
        <w:rPr>
          <w:rFonts w:ascii="Times New Roman" w:hAnsi="Times New Roman" w:cs="Times New Roman"/>
          <w:sz w:val="24"/>
          <w:szCs w:val="24"/>
        </w:rPr>
        <w:lastRenderedPageBreak/>
        <w:t>and environmental sensor data to detect unsafe activities, predict accident risk, notify supervisors immediately, generate compliance reports, and maintain historical safety records across multiple projects, all within a secure and scalable architecture.</w:t>
      </w:r>
    </w:p>
    <w:p w14:paraId="074703E7"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1.3 Objectives of the Literature Survey</w:t>
      </w:r>
    </w:p>
    <w:p w14:paraId="4A6D6DCA"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Identify and review credible, relevant research addressing AI-driven construction safety monitoring.</w:t>
      </w:r>
    </w:p>
    <w:p w14:paraId="6319B30D"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Summarise the objectives, methodologies, technologies, datasets, and findings of the selected studies.</w:t>
      </w:r>
    </w:p>
    <w:p w14:paraId="6BF6DD4D"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Compare existing approaches on accuracy, performance, scalability, and efficiency.</w:t>
      </w:r>
    </w:p>
    <w:p w14:paraId="7894BC2B"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Identify limitations and challenges reported across the literature.</w:t>
      </w:r>
    </w:p>
    <w:p w14:paraId="7D03BEB8"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Analyse the collective literature to determine unresolved research gaps.</w:t>
      </w:r>
    </w:p>
    <w:p w14:paraId="13B897DA"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Propose future research directions to guide platform design.</w:t>
      </w:r>
    </w:p>
    <w:p w14:paraId="2BA6352D"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2. Literature Survey Methodology</w:t>
      </w:r>
    </w:p>
    <w:p w14:paraId="2252D4EB"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A structured search was conducted across scholarly databases and publisher platforms, including Frontiers, ScienceDirect (Automation in Construction), the American Society of Civil Engineers (ASCE) Journal of Computing in Civil Engineering and Journal of Construction Engineering and Management, Springer (Artificial Intelligence Review), Nature Scientific Reports, </w:t>
      </w:r>
      <w:proofErr w:type="spellStart"/>
      <w:r w:rsidRPr="00FA0740">
        <w:rPr>
          <w:rFonts w:ascii="Times New Roman" w:hAnsi="Times New Roman" w:cs="Times New Roman"/>
          <w:sz w:val="24"/>
          <w:szCs w:val="24"/>
        </w:rPr>
        <w:t>PeerJ</w:t>
      </w:r>
      <w:proofErr w:type="spellEnd"/>
      <w:r w:rsidRPr="00FA0740">
        <w:rPr>
          <w:rFonts w:ascii="Times New Roman" w:hAnsi="Times New Roman" w:cs="Times New Roman"/>
          <w:sz w:val="24"/>
          <w:szCs w:val="24"/>
        </w:rPr>
        <w:t xml:space="preserve"> Computer Science, MDPI (Sustainability, Buildings), PubMed Central (PMC), and </w:t>
      </w:r>
      <w:proofErr w:type="spellStart"/>
      <w:r w:rsidRPr="00FA0740">
        <w:rPr>
          <w:rFonts w:ascii="Times New Roman" w:hAnsi="Times New Roman" w:cs="Times New Roman"/>
          <w:sz w:val="24"/>
          <w:szCs w:val="24"/>
        </w:rPr>
        <w:t>arXiv</w:t>
      </w:r>
      <w:proofErr w:type="spellEnd"/>
      <w:r w:rsidRPr="00FA0740">
        <w:rPr>
          <w:rFonts w:ascii="Times New Roman" w:hAnsi="Times New Roman" w:cs="Times New Roman"/>
          <w:sz w:val="24"/>
          <w:szCs w:val="24"/>
        </w:rPr>
        <w:t xml:space="preserve"> preprint archives. Search terms combined construction safety with computer vision, PPE detection, wearable sensors, proximity/collision detection, machine learning, IoT, and BIM.</w:t>
      </w:r>
    </w:p>
    <w:p w14:paraId="5EBEFF7B"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Twenty-two sources published between 2017 and 2026 were selected based on topical relevance to the four core sensing and prediction pillars of the proposed platform: (</w:t>
      </w:r>
      <w:proofErr w:type="spellStart"/>
      <w:r w:rsidRPr="00FA0740">
        <w:rPr>
          <w:rFonts w:ascii="Times New Roman" w:hAnsi="Times New Roman" w:cs="Times New Roman"/>
          <w:sz w:val="24"/>
          <w:szCs w:val="24"/>
        </w:rPr>
        <w:t>i</w:t>
      </w:r>
      <w:proofErr w:type="spellEnd"/>
      <w:r w:rsidRPr="00FA0740">
        <w:rPr>
          <w:rFonts w:ascii="Times New Roman" w:hAnsi="Times New Roman" w:cs="Times New Roman"/>
          <w:sz w:val="24"/>
          <w:szCs w:val="24"/>
        </w:rPr>
        <w:t xml:space="preserve">) PPE compliance detection, (ii) wearable and physiological worker monitoring, (iii) equipment-worker proximity and collision avoidance, and (iv) machine-learning-based accident-risk prediction, including integrated IoT/BIM early-warning platforms. Preference was given to peer-reviewed journal articles and systematic reviews, supplemented by recent </w:t>
      </w:r>
      <w:proofErr w:type="spellStart"/>
      <w:r w:rsidRPr="00FA0740">
        <w:rPr>
          <w:rFonts w:ascii="Times New Roman" w:hAnsi="Times New Roman" w:cs="Times New Roman"/>
          <w:sz w:val="24"/>
          <w:szCs w:val="24"/>
        </w:rPr>
        <w:t>arXiv</w:t>
      </w:r>
      <w:proofErr w:type="spellEnd"/>
      <w:r w:rsidRPr="00FA0740">
        <w:rPr>
          <w:rFonts w:ascii="Times New Roman" w:hAnsi="Times New Roman" w:cs="Times New Roman"/>
          <w:sz w:val="24"/>
          <w:szCs w:val="24"/>
        </w:rPr>
        <w:t xml:space="preserve"> preprints where they represented emerging methods (for example, vision-language-model-based inspection). Each selected paper was reviewed for its stated objective, methodology, dataset or tools used, reported findings, and disclosed limitations, which were then synthesised into the comparative table in Section 7.</w:t>
      </w:r>
    </w:p>
    <w:p w14:paraId="605BEFCB"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3. Thematic Literature Review</w:t>
      </w:r>
    </w:p>
    <w:p w14:paraId="420B1DFB"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3.1 Computer-Vision-Based PPE Compliance Detection</w:t>
      </w:r>
    </w:p>
    <w:p w14:paraId="3F89FADA"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PPE compliance detection is the most extensively researched pillar of AI-driven construction safety. Delhi et al. [1] developed a real-time framework using a YOLOv3-based convolutional neural network with transfer learning to detect hard-hat and safety-jacket compliance from site imagery, demonstrating the feasibility of embedding automated PPE checks into organisational safety workflows. Building on this line of work, Ferdous and Ahsan [2] trained and benchmarked eight YOLO-family detectors across six PPE-related classes using the CHV public dataset, reporting mean </w:t>
      </w:r>
      <w:r w:rsidRPr="00FA0740">
        <w:rPr>
          <w:rFonts w:ascii="Times New Roman" w:hAnsi="Times New Roman" w:cs="Times New Roman"/>
          <w:sz w:val="24"/>
          <w:szCs w:val="24"/>
        </w:rPr>
        <w:lastRenderedPageBreak/>
        <w:t>average precision figures competitive with, and in some configurations exceeding, prior state-of-the-art results, while identifying colour-coded helmet classification as a useful safety-role indicator.</w:t>
      </w:r>
    </w:p>
    <w:p w14:paraId="2B6960C7"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Beyond simple bounding-box localisation, the framework proposed in the Journal of Computational Design and Engineering [3] couples a pixel-based instance-segmentation detector with a rule-based post-processing algorithm to determine PPE-wearing status more precisely than irregularly shaped bounding boxes allow, and the authors suggest that future end-to-end approaches based on human-object-interaction (</w:t>
      </w:r>
      <w:proofErr w:type="spellStart"/>
      <w:r w:rsidRPr="00FA0740">
        <w:rPr>
          <w:rFonts w:ascii="Times New Roman" w:hAnsi="Times New Roman" w:cs="Times New Roman"/>
          <w:sz w:val="24"/>
          <w:szCs w:val="24"/>
        </w:rPr>
        <w:t>HoI</w:t>
      </w:r>
      <w:proofErr w:type="spellEnd"/>
      <w:r w:rsidRPr="00FA0740">
        <w:rPr>
          <w:rFonts w:ascii="Times New Roman" w:hAnsi="Times New Roman" w:cs="Times New Roman"/>
          <w:sz w:val="24"/>
          <w:szCs w:val="24"/>
        </w:rPr>
        <w:t>) and scene-graph generation could replace the rule-based determination stage. A related industrial study conducted under the SIVIS initiative [4] extends PPE detection with pose estimation to correctly associate detected PPE items with the correct individual in crowded or occluded scenes, a persistent challenge in dense industrial and shipyard environments. Fang et al. [6] addressed a complementary problem — detecting hard-hat non-use from far-field surveillance video — showing that deep-learning detectors can operate at typical CCTV camera distances, though with reduced accuracy compared with close-range imagery. A 2024 systematic review published in Artificial Intelligence Review [5] consolidates over forty such primary studies, concluding that while detection accuracy has improved steadily with successive YOLO generations, the field lacks standard benchmarks, consistent dataset labelling conventions, and cross-study comparability.</w:t>
      </w:r>
    </w:p>
    <w:p w14:paraId="04B27522"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3.2 Wearable Sensing and Physiological Monitoring</w:t>
      </w:r>
    </w:p>
    <w:p w14:paraId="4D444DBA"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A parallel body of research uses wearable devices to monitor the physiological and behavioural state of individual workers rather than relying solely on external cameras. A 2025 review of wearable sensing devices (WSDs) for construction safety [8] catalogues an expanding set of device types — smart helmets, safety vests, pressure-sensitive boots, GPS trackers, smart glasses, and bands — capable of monitoring physical demand, proximity to machinery, psychological state, and critical health metrics, and highlights the emerging integration of federated learning to preserve worker data privacy while personalising models for new site participants. A broader systematic review [12] of two hundred publications between 2011 and 2023 similarly finds wearable sensing technologies concentrated around four themes: musculoskeletal-disorder risk, worker activity recognition, physiological status, and occupational-risk monitoring, while noting that a comprehensive cross-cutting review of the field was, until recently, lacking.</w:t>
      </w:r>
    </w:p>
    <w:p w14:paraId="5066B123"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At the model level, Lee et al. [9] developed a Bi-directional LSTM model that recognises a construction worker's perceived risk level from wrist-worn physiological biosensor data, reporting accuracy above 99% and F1-scores exceeding 99.9%, substantially outperforming conventional survey-based risk assessment, which lacks continuous monitoring capability and introduces subjectivity. Aryal and </w:t>
      </w:r>
      <w:proofErr w:type="spellStart"/>
      <w:r w:rsidRPr="00FA0740">
        <w:rPr>
          <w:rFonts w:ascii="Times New Roman" w:hAnsi="Times New Roman" w:cs="Times New Roman"/>
          <w:sz w:val="24"/>
          <w:szCs w:val="24"/>
        </w:rPr>
        <w:t>Becerik</w:t>
      </w:r>
      <w:proofErr w:type="spellEnd"/>
      <w:r w:rsidRPr="00FA0740">
        <w:rPr>
          <w:rFonts w:ascii="Times New Roman" w:hAnsi="Times New Roman" w:cs="Times New Roman"/>
          <w:sz w:val="24"/>
          <w:szCs w:val="24"/>
        </w:rPr>
        <w:t>-Gerber [10] earlier established that physiological heart-rate measurements can be used to monitor physical fatigue, a precursor to musculoskeletal injury and fall risk. More recent work extends this concept to heat-stress prediction, coupling attention-based deep-learning models with continuously streamed heart-rate, heart-rate-variability, respiration, and oxygen-saturation data from consumer-grade wearables to provide interpretable, actionable heat-illness warnings for site supervisors. A systematic review of load-handling ergonomic risk assessment using wearable sensors and machine learning similarly found only fifteen qualifying studies out of 851 screened, indicating that most existing work addresses posture classification rather than the external-force estimation needed for comprehensive musculoskeletal risk scoring.</w:t>
      </w:r>
    </w:p>
    <w:p w14:paraId="0EA65A05"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lastRenderedPageBreak/>
        <w:t>3.3 Proximity Detection and Equipment-Worker Collision Avoidance</w:t>
      </w:r>
    </w:p>
    <w:p w14:paraId="1ED81E2D"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Struck-by and collision incidents between workers and heavy equipment remain a leading cause of construction fatalities, motivating a distinct research stream on proximity sensing. Kim et al. [13] proposed a CCTV-based collision-monitoring system that computes a posture-dependent "safety ellipse" around each worker using convolutional-neural-network object detection, pose estimation, occupied-space calculation, and </w:t>
      </w:r>
      <w:proofErr w:type="spellStart"/>
      <w:r w:rsidRPr="00FA0740">
        <w:rPr>
          <w:rFonts w:ascii="Times New Roman" w:hAnsi="Times New Roman" w:cs="Times New Roman"/>
          <w:sz w:val="24"/>
          <w:szCs w:val="24"/>
        </w:rPr>
        <w:t>homography</w:t>
      </w:r>
      <w:proofErr w:type="spellEnd"/>
      <w:r w:rsidRPr="00FA0740">
        <w:rPr>
          <w:rFonts w:ascii="Times New Roman" w:hAnsi="Times New Roman" w:cs="Times New Roman"/>
          <w:sz w:val="24"/>
          <w:szCs w:val="24"/>
        </w:rPr>
        <w:t>, improving on earlier fixed-radius proximity models by accounting for a worker's actual body orientation and the physical footprint of nearby trucks. Son et al. [14] took an equipment-mounted approach, using monocular cameras fitted to excavators to estimate worker positions in three dimensions and alert operators in real time; field trials on two excavator sizes confirmed the system's applicability to live excavation and material-moving operations, although blind spots outside the mounted camera's field of view remained a limitation.</w:t>
      </w:r>
    </w:p>
    <w:p w14:paraId="640A6C34"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Because vision-based systems are constrained to line-of-sight and degrade in poor lighting, dust, or fog, the Robust Construction Safety System (RCSS) [15] instead relies on ultra-wideband (UWB) sensing to achieve non-line-of-sight proximity detection, simultaneously triggering wearable alarms and, where interfaced with equipment control units, halting machinery automatically. A separate CCTV-based study [16] combines worker-trajectory prediction with a Kalman filter and homographic transformation of a fixed camera view to flag a "collision danger state" before an actual proximity breach occurs, while a monocular 3D object-detection approach [17] estimates worker-machine proximity from a single RGB image without dedicated depth sensors, reducing hardware cost for retrofit deployment on existing site cameras.</w:t>
      </w:r>
    </w:p>
    <w:p w14:paraId="7EE5E825"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3.4 Machine-Learning-Based Accident Risk Prediction</w:t>
      </w:r>
    </w:p>
    <w:p w14:paraId="5507CACD"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A fourth research stream applies machine learning to historical incident records to predict accident likelihood and severity rather than detecting hazards from live sensor streams. A 2026 study published in Scientific Reports [19] compared six algorithms — K-Nearest Neighbour, Support Vector Machine, Decision Tree, Random Forest, Gradient Boosting, and Extreme Gradient Boosting (</w:t>
      </w:r>
      <w:proofErr w:type="spellStart"/>
      <w:r w:rsidRPr="00FA0740">
        <w:rPr>
          <w:rFonts w:ascii="Times New Roman" w:hAnsi="Times New Roman" w:cs="Times New Roman"/>
          <w:sz w:val="24"/>
          <w:szCs w:val="24"/>
        </w:rPr>
        <w:t>XGBoost</w:t>
      </w:r>
      <w:proofErr w:type="spellEnd"/>
      <w:r w:rsidRPr="00FA0740">
        <w:rPr>
          <w:rFonts w:ascii="Times New Roman" w:hAnsi="Times New Roman" w:cs="Times New Roman"/>
          <w:sz w:val="24"/>
          <w:szCs w:val="24"/>
        </w:rPr>
        <w:t xml:space="preserve">) — on 203 recorded incidents from the Saudi Arabian construction industry, finding that </w:t>
      </w:r>
      <w:proofErr w:type="spellStart"/>
      <w:r w:rsidRPr="00FA0740">
        <w:rPr>
          <w:rFonts w:ascii="Times New Roman" w:hAnsi="Times New Roman" w:cs="Times New Roman"/>
          <w:sz w:val="24"/>
          <w:szCs w:val="24"/>
        </w:rPr>
        <w:t>XGBoost</w:t>
      </w:r>
      <w:proofErr w:type="spellEnd"/>
      <w:r w:rsidRPr="00FA0740">
        <w:rPr>
          <w:rFonts w:ascii="Times New Roman" w:hAnsi="Times New Roman" w:cs="Times New Roman"/>
          <w:sz w:val="24"/>
          <w:szCs w:val="24"/>
        </w:rPr>
        <w:t xml:space="preserve"> achieved the strongest performance, reaching 89% accuracy in predicting incident severity, and recommending that such models be used as decision-support tools that prioritise safety audits rather than as fully autonomous predictors. A comprehensive hybrid bibliometric and systematic review in the ASCE Journal of Construction Engineering and Management [20] surveys the broader field of machine-learning-based construction accident analysis and prevention, identifying six distinct research clusters operating at the country/region, organisation, and project/site levels, spanning automatic accident-cause analysis, safety-knowledge-graph construction, and dynamic project-level risk evaluation.</w:t>
      </w:r>
    </w:p>
    <w:p w14:paraId="26FC01F3"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3.5 Integrated IoT, BIM, and Multi-Sensor Safety Platforms</w:t>
      </w:r>
    </w:p>
    <w:p w14:paraId="2CE39B33"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The final and most directly relevant stream addresses platform-level integration of the sensing and prediction techniques above. Pujari et al. [18] proposed a framework integrating IoT sensor networks with machine-learning hazard-prediction models for real-time construction safety management, illustrating the conceptual architecture needed to fuse heterogeneous sensor streams into unified hazard alerts, though the framework has not yet been validated at large operational scale. A related deep-excavation case study on the </w:t>
      </w:r>
      <w:proofErr w:type="spellStart"/>
      <w:r w:rsidRPr="00FA0740">
        <w:rPr>
          <w:rFonts w:ascii="Times New Roman" w:hAnsi="Times New Roman" w:cs="Times New Roman"/>
          <w:sz w:val="24"/>
          <w:szCs w:val="24"/>
        </w:rPr>
        <w:t>Jinji</w:t>
      </w:r>
      <w:proofErr w:type="spellEnd"/>
      <w:r w:rsidRPr="00FA0740">
        <w:rPr>
          <w:rFonts w:ascii="Times New Roman" w:hAnsi="Times New Roman" w:cs="Times New Roman"/>
          <w:sz w:val="24"/>
          <w:szCs w:val="24"/>
        </w:rPr>
        <w:t xml:space="preserve"> Lake Tunnel project [21] developed a DL-MSD model </w:t>
      </w:r>
      <w:r w:rsidRPr="00FA0740">
        <w:rPr>
          <w:rFonts w:ascii="Times New Roman" w:hAnsi="Times New Roman" w:cs="Times New Roman"/>
          <w:sz w:val="24"/>
          <w:szCs w:val="24"/>
        </w:rPr>
        <w:lastRenderedPageBreak/>
        <w:t>combining convolutional neural networks, residual units, and LSTM layers to fuse Building Information Modelling (BIM) and IoT monitoring data for spatiotemporal safety early-warning, validated on 6,524 field samples with 90.2% accuracy for single-factor warnings and 77.1% accuracy when fusing multiple risk factors, and reporting zero omissions for the most severe risk category. Looking toward emerging methods, a 2025 preprint describes an autonomous mobile-robot inspection pipeline [22] that combines vision-language models with large language models to interpret site imagery and generate natural-language safety findings, illustrating a plausible future direction in which multimodal foundation models augment or replace task-specific detectors for open-ended hazard recognition.</w:t>
      </w:r>
    </w:p>
    <w:p w14:paraId="32C5B7CA"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4. Comparative Analysis of Existing Approaches</w:t>
      </w:r>
    </w:p>
    <w:p w14:paraId="66288610"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The reviewed literature can be compared along four practical dimensions relevant to platform design: detection accuracy, real-time performance, scalability across sites, and methodological maturity.</w:t>
      </w:r>
    </w:p>
    <w:p w14:paraId="3BAC112B"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4.1 Accuracy</w:t>
      </w:r>
    </w:p>
    <w:p w14:paraId="531B740A"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Vision-based PPE detectors report the highest headline accuracy figures, with mean average precision commonly cited around 90-96% under controlled or near-field conditions [1], [2], [5], though accuracy degrades measurably in far-field, low-light, or occluded scenes [6]. Physiological wearable-sensor models report even higher classification accuracy in constrained tasks, such as the 99.9%-accurate perceived-risk model [9], but these results are drawn from small, single-context participant samples and have not been validated at the scale or diversity of a live multi-project platform. Accident-risk prediction models trained on historical incident data report more modest accuracy (60-89%) [19], reflecting the inherent noisiness and small size of real-world incident datasets compared with curated image or sensor datasets.</w:t>
      </w:r>
    </w:p>
    <w:p w14:paraId="5F3F802B"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4.2 Real-Time Performance</w:t>
      </w:r>
    </w:p>
    <w:p w14:paraId="2224D7FA"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Object-detection frameworks built on YOLO architectures [1], [2], [7] and monocular proximity-estimation systems [14], [17] are explicitly designed for near-real-time inference, typically processing live video streams at rates suitable for operator or supervisor alerting. UWB-based proximity systems [15] achieve comparable or faster response latency at the cost of dedicated hardware infrastructure. In contrast, ML-based risk-prediction models [19], [20] and BIM/IoT early-warning systems [21] are typically evaluated on batch or periodic monitoring cycles rather than frame-level real-time inference, making them better suited to supervisory-level trend alerting than to instantaneous hazard intervention.</w:t>
      </w:r>
    </w:p>
    <w:p w14:paraId="7A7E49F0"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4.3 Scalability</w:t>
      </w:r>
    </w:p>
    <w:p w14:paraId="59E77E43"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Camera-based vision approaches scale relatively well across sites because they reuse existing CCTV infrastructure [16], [21], but most reported studies remain single-site validations [1], [13], [14], limiting evidence of performance under multi-project, multi-camera-vendor deployment. Wearable-sensor approaches face a different scalability constraint: device cost, battery maintenance, and worker compliance with wearing the device itself [8], [12]. IoT/BIM integrated frameworks [18], [21] are conceptually the most scalable, as they are designed to aggregate heterogeneous data sources, but </w:t>
      </w:r>
      <w:r w:rsidRPr="00FA0740">
        <w:rPr>
          <w:rFonts w:ascii="Times New Roman" w:hAnsi="Times New Roman" w:cs="Times New Roman"/>
          <w:sz w:val="24"/>
          <w:szCs w:val="24"/>
        </w:rPr>
        <w:lastRenderedPageBreak/>
        <w:t>empirical validation at the scale of multiple concurrent construction projects is still limited in the reviewed literature.</w:t>
      </w:r>
    </w:p>
    <w:p w14:paraId="20E3B6C5" w14:textId="77777777" w:rsidR="000E0571" w:rsidRPr="00FA0740" w:rsidRDefault="00000000">
      <w:pPr>
        <w:pStyle w:val="Heading2"/>
        <w:spacing w:before="240" w:after="120"/>
        <w:rPr>
          <w:rFonts w:ascii="Times New Roman" w:hAnsi="Times New Roman" w:cs="Times New Roman"/>
          <w:sz w:val="24"/>
          <w:szCs w:val="24"/>
        </w:rPr>
      </w:pPr>
      <w:r w:rsidRPr="00FA0740">
        <w:rPr>
          <w:rFonts w:ascii="Times New Roman" w:hAnsi="Times New Roman" w:cs="Times New Roman"/>
          <w:b/>
          <w:bCs/>
          <w:color w:val="2E5395"/>
          <w:sz w:val="24"/>
          <w:szCs w:val="24"/>
        </w:rPr>
        <w:t>4.4 Methodology and Technological Maturity</w:t>
      </w:r>
    </w:p>
    <w:p w14:paraId="5AE762A8"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Across the surveyed period, methodology has progressed from single-purpose CNN classifiers [1], through YOLO-generation detectors optimised for speed and accuracy [2], [7], to segmentation- and pose-aware frameworks that better resolve occlusion and posture [3], [4], [13], and finally toward multi-modal fusion architectures combining CNNs with recurrent (LSTM) components for spatiotemporal risk prediction [21] and, most recently, vision-language-model-based inspection agents [22]. This progression indicates a clear technological trajectory toward the kind of multi-sensor, multi-modal fusion required by an integrated safety-monitoring platform, even though no single reviewed study yet implements that full fusion at production scale.</w:t>
      </w:r>
    </w:p>
    <w:p w14:paraId="79C09E9F"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5. Limitations and Challenges Identified in Existing Research</w:t>
      </w:r>
    </w:p>
    <w:p w14:paraId="6D922090"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Narrow scope per study: most computer-vision studies target a single hazard type (PPE [1]-[6], or proximity [13]-[17]) rather than a unified multi-hazard detection pipeline.</w:t>
      </w:r>
    </w:p>
    <w:p w14:paraId="19F8163F"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Small, single-site datasets: many models are trained and validated on data from one construction site or a limited incident dataset [1], [13], [14], [19], raising concerns about generalisability across geographies, weather, and site layouts.</w:t>
      </w:r>
    </w:p>
    <w:p w14:paraId="5D7A31F2"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Environmental sensitivity: vision-based detectors lose accuracy under poor lighting, dust, occlusion, and far-field camera placement [6], [15], while purely wireless (UWB/GPS) systems avoid this but introduce hardware and maintenance overhead [15].</w:t>
      </w:r>
    </w:p>
    <w:p w14:paraId="33DB008F"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Worker compliance and privacy: wearable-sensor approaches depend on workers consistently wearing devices and raise data-privacy concerns that recent federated-learning approaches are only beginning to address [8].</w:t>
      </w:r>
    </w:p>
    <w:p w14:paraId="73B13A26"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Lack of standard benchmarks: the absence of common datasets and evaluation protocols across PPE-detection studies makes cross-study comparison unreliable [5].</w:t>
      </w:r>
    </w:p>
    <w:p w14:paraId="7110B997"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Batch-oriented risk prediction: ML accident-prediction models are typically trained on retrospective incident logs rather than continuously updated real-time sensor streams, limiting their use for proactive, moment-to-moment intervention [19], [20].</w:t>
      </w:r>
    </w:p>
    <w:p w14:paraId="29ACC460"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Limited platform-level validation: IoT/BIM integration frameworks are largely conceptual or validated on a single project type (for example, deep excavation) rather than demonstrated across the full diversity of a multi-project construction portfolio [18], [21].</w:t>
      </w:r>
    </w:p>
    <w:p w14:paraId="63F66DB7"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Absence of end-to-end alerting and reporting evaluation: few studies evaluate the complete pipeline from detection through supervisor notification to compliance-report generation as an integrated system.</w:t>
      </w:r>
    </w:p>
    <w:p w14:paraId="7FDBF352"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6. Research Gap</w:t>
      </w:r>
    </w:p>
    <w:p w14:paraId="34129BEF"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 xml:space="preserve">The literature demonstrates strong, independently validated capability across four component technologies — PPE compliance detection, physiological/wearable monitoring, proximity/collision </w:t>
      </w:r>
      <w:r w:rsidRPr="00FA0740">
        <w:rPr>
          <w:rFonts w:ascii="Times New Roman" w:hAnsi="Times New Roman" w:cs="Times New Roman"/>
          <w:sz w:val="24"/>
          <w:szCs w:val="24"/>
        </w:rPr>
        <w:lastRenderedPageBreak/>
        <w:t>avoidance, and historical-data-driven risk prediction — yet no reviewed study integrates all four into a single, continuously operating, multi-project platform. Specifically, the survey identifies the following unresolved gaps:</w:t>
      </w:r>
    </w:p>
    <w:p w14:paraId="48F4DF23"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Cross-modal fusion gap: existing systems process vision, wearable, and environmental data streams largely in isolation; a unified model that fuses these streams for a single, calibrated risk score per worker or zone has not been demonstrated at scale.</w:t>
      </w:r>
    </w:p>
    <w:p w14:paraId="75212E35"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Real-time-to-predictive gap: real-time detection systems (vision, UWB) address immediate hazards, while ML risk-prediction models address historical trends, but a system that uses real-time sensor fusion to continuously update short-horizon accident-risk predictions is largely unexplored.</w:t>
      </w:r>
    </w:p>
    <w:p w14:paraId="14F6A80F"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Multi-project scalability gap: nearly all reviewed studies validate their approach on a single site or a narrow dataset; secure, multi-tenant architectures supporting many concurrent projects with shared learning are not empirically demonstrated.</w:t>
      </w:r>
    </w:p>
    <w:p w14:paraId="559A0437"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Standardisation gap: the absence of common datasets, labelling conventions, and evaluation metrics across PPE, proximity, and risk-prediction research impedes reproducible comparison and slows platform-level benchmarking.</w:t>
      </w:r>
    </w:p>
    <w:p w14:paraId="10A097BC"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Human-factors and adoption gap: worker privacy, trust, and compliance with wearable devices are acknowledged as barriers but are rarely evaluated alongside technical accuracy metrics in the same study.</w:t>
      </w:r>
    </w:p>
    <w:p w14:paraId="7BE9D465"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7. Possible Improvements and Future Research Directions</w:t>
      </w:r>
    </w:p>
    <w:p w14:paraId="5486235F"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Develop multi-modal fusion architectures that combine CCTV-based vision detection, wearable physiological data, and UWB/GPS location data into a single, continuously updated risk score per worker and per zone, building on the segmentation- and pose-aware detectors reviewed in Section 3.1 and 3.3.</w:t>
      </w:r>
    </w:p>
    <w:p w14:paraId="3907D6F1"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Extend historical-incident-trained ML risk-prediction models [19], [20] with streaming real-time sensor inputs so that predictions update continuously rather than relying solely on retrospective, batch-trained models.</w:t>
      </w:r>
    </w:p>
    <w:p w14:paraId="7CCDB6CF"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Investigate federated and privacy-preserving learning approaches, extending early work such as blockchain-enabled federated learning for wearable health and safety monitoring [8], to allow multi-project platforms to share learned safety models without centralising sensitive worker data.</w:t>
      </w:r>
    </w:p>
    <w:p w14:paraId="7AEB2C8A"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Establish standard, open, multi-site benchmark datasets covering PPE compliance, proximity events, and incident outcomes to enable reproducible cross-study comparison, addressing the standardisation gap identified in Section 6.</w:t>
      </w:r>
    </w:p>
    <w:p w14:paraId="2B18A863"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Explore vision-language and large-language-model-based inspection agents [22] as a flexible, open-vocabulary complement to fixed-class object detectors, enabling recognition of novel or site-specific hazards without full model retraining.</w:t>
      </w:r>
    </w:p>
    <w:p w14:paraId="6C00BA59"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lastRenderedPageBreak/>
        <w:t>Design and empirically validate secure, multi-tenant cloud/edge architectures capable of ingesting video, wearable, and environmental data across many concurrent construction projects, with role-based access for supervisors, contractors, and regulators.</w:t>
      </w:r>
    </w:p>
    <w:p w14:paraId="72F9E71C" w14:textId="77777777" w:rsidR="000E0571" w:rsidRPr="00FA0740" w:rsidRDefault="00000000">
      <w:pPr>
        <w:pStyle w:val="ListParagraph"/>
        <w:numPr>
          <w:ilvl w:val="0"/>
          <w:numId w:val="2"/>
        </w:numPr>
        <w:spacing w:after="80" w:line="276" w:lineRule="auto"/>
        <w:rPr>
          <w:rFonts w:ascii="Times New Roman" w:hAnsi="Times New Roman" w:cs="Times New Roman"/>
          <w:sz w:val="24"/>
          <w:szCs w:val="24"/>
        </w:rPr>
      </w:pPr>
      <w:r w:rsidRPr="00FA0740">
        <w:rPr>
          <w:rFonts w:ascii="Times New Roman" w:hAnsi="Times New Roman" w:cs="Times New Roman"/>
          <w:sz w:val="24"/>
          <w:szCs w:val="24"/>
        </w:rPr>
        <w:t>Incorporate human-factors evaluation — worker trust, comfort, and compliance with wearable devices, and supervisor trust in automated alerts — as a first-class metric alongside detection accuracy in future platform evaluations.</w:t>
      </w:r>
    </w:p>
    <w:p w14:paraId="782403E5" w14:textId="77777777" w:rsidR="000E0571" w:rsidRPr="00FA0740" w:rsidRDefault="000E0571">
      <w:pPr>
        <w:rPr>
          <w:rFonts w:ascii="Times New Roman" w:hAnsi="Times New Roman" w:cs="Times New Roman"/>
          <w:sz w:val="24"/>
          <w:szCs w:val="24"/>
        </w:rPr>
        <w:sectPr w:rsidR="000E0571" w:rsidRPr="00FA0740">
          <w:pgSz w:w="12240" w:h="15840"/>
          <w:pgMar w:top="1080" w:right="1260" w:bottom="1080" w:left="1260" w:header="708" w:footer="708" w:gutter="0"/>
          <w:cols w:space="720"/>
          <w:docGrid w:linePitch="360"/>
        </w:sectPr>
      </w:pPr>
    </w:p>
    <w:p w14:paraId="18B66998"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lastRenderedPageBreak/>
        <w:t>8. Comparative Literature Survey Table</w:t>
      </w:r>
    </w:p>
    <w:p w14:paraId="28FDBA5F"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Table 1 summarises author/year, research problem, methodology, dataset/tools, key findings, limitations, and the corresponding research gap for the most directly relevant studies reviewed in Section 3.</w:t>
      </w:r>
    </w:p>
    <w:tbl>
      <w:tblPr>
        <w:tblW w:w="1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2027"/>
        <w:gridCol w:w="2197"/>
        <w:gridCol w:w="2280"/>
        <w:gridCol w:w="2437"/>
        <w:gridCol w:w="1985"/>
        <w:gridCol w:w="2008"/>
      </w:tblGrid>
      <w:tr w:rsidR="000E0571" w:rsidRPr="00FA0740" w14:paraId="285ED345" w14:textId="77777777">
        <w:tblPrEx>
          <w:tblCellMar>
            <w:top w:w="0" w:type="dxa"/>
            <w:bottom w:w="0" w:type="dxa"/>
          </w:tblCellMar>
        </w:tblPrEx>
        <w:trPr>
          <w:tblHeader/>
        </w:trPr>
        <w:tc>
          <w:tcPr>
            <w:tcW w:w="1450" w:type="dxa"/>
            <w:shd w:val="clear" w:color="auto" w:fill="1F3864"/>
            <w:tcMar>
              <w:top w:w="60" w:type="dxa"/>
              <w:left w:w="80" w:type="dxa"/>
              <w:bottom w:w="60" w:type="dxa"/>
              <w:right w:w="80" w:type="dxa"/>
            </w:tcMar>
            <w:vAlign w:val="center"/>
          </w:tcPr>
          <w:p w14:paraId="28E3934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Author / Year</w:t>
            </w:r>
          </w:p>
        </w:tc>
        <w:tc>
          <w:tcPr>
            <w:tcW w:w="1900" w:type="dxa"/>
            <w:shd w:val="clear" w:color="auto" w:fill="1F3864"/>
            <w:tcMar>
              <w:top w:w="60" w:type="dxa"/>
              <w:left w:w="80" w:type="dxa"/>
              <w:bottom w:w="60" w:type="dxa"/>
              <w:right w:w="80" w:type="dxa"/>
            </w:tcMar>
            <w:vAlign w:val="center"/>
          </w:tcPr>
          <w:p w14:paraId="3D969AB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Research Problem</w:t>
            </w:r>
          </w:p>
        </w:tc>
        <w:tc>
          <w:tcPr>
            <w:tcW w:w="2350" w:type="dxa"/>
            <w:shd w:val="clear" w:color="auto" w:fill="1F3864"/>
            <w:tcMar>
              <w:top w:w="60" w:type="dxa"/>
              <w:left w:w="80" w:type="dxa"/>
              <w:bottom w:w="60" w:type="dxa"/>
              <w:right w:w="80" w:type="dxa"/>
            </w:tcMar>
            <w:vAlign w:val="center"/>
          </w:tcPr>
          <w:p w14:paraId="55B9F24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Methodology</w:t>
            </w:r>
          </w:p>
        </w:tc>
        <w:tc>
          <w:tcPr>
            <w:tcW w:w="1900" w:type="dxa"/>
            <w:shd w:val="clear" w:color="auto" w:fill="1F3864"/>
            <w:tcMar>
              <w:top w:w="60" w:type="dxa"/>
              <w:left w:w="80" w:type="dxa"/>
              <w:bottom w:w="60" w:type="dxa"/>
              <w:right w:w="80" w:type="dxa"/>
            </w:tcMar>
            <w:vAlign w:val="center"/>
          </w:tcPr>
          <w:p w14:paraId="598FCC6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Dataset / Tools</w:t>
            </w:r>
          </w:p>
        </w:tc>
        <w:tc>
          <w:tcPr>
            <w:tcW w:w="2650" w:type="dxa"/>
            <w:shd w:val="clear" w:color="auto" w:fill="1F3864"/>
            <w:tcMar>
              <w:top w:w="60" w:type="dxa"/>
              <w:left w:w="80" w:type="dxa"/>
              <w:bottom w:w="60" w:type="dxa"/>
              <w:right w:w="80" w:type="dxa"/>
            </w:tcMar>
            <w:vAlign w:val="center"/>
          </w:tcPr>
          <w:p w14:paraId="7CA08F7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Key Findings</w:t>
            </w:r>
          </w:p>
        </w:tc>
        <w:tc>
          <w:tcPr>
            <w:tcW w:w="2100" w:type="dxa"/>
            <w:shd w:val="clear" w:color="auto" w:fill="1F3864"/>
            <w:tcMar>
              <w:top w:w="60" w:type="dxa"/>
              <w:left w:w="80" w:type="dxa"/>
              <w:bottom w:w="60" w:type="dxa"/>
              <w:right w:w="80" w:type="dxa"/>
            </w:tcMar>
            <w:vAlign w:val="center"/>
          </w:tcPr>
          <w:p w14:paraId="36AD779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Limitations</w:t>
            </w:r>
          </w:p>
        </w:tc>
        <w:tc>
          <w:tcPr>
            <w:tcW w:w="2090" w:type="dxa"/>
            <w:shd w:val="clear" w:color="auto" w:fill="1F3864"/>
            <w:tcMar>
              <w:top w:w="60" w:type="dxa"/>
              <w:left w:w="80" w:type="dxa"/>
              <w:bottom w:w="60" w:type="dxa"/>
              <w:right w:w="80" w:type="dxa"/>
            </w:tcMar>
            <w:vAlign w:val="center"/>
          </w:tcPr>
          <w:p w14:paraId="37D2ADB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b/>
                <w:bCs/>
                <w:color w:val="FFFFFF"/>
                <w:sz w:val="24"/>
                <w:szCs w:val="24"/>
              </w:rPr>
              <w:t>Research Gap</w:t>
            </w:r>
          </w:p>
        </w:tc>
      </w:tr>
      <w:tr w:rsidR="000E0571" w:rsidRPr="00FA0740" w14:paraId="41FCDD67" w14:textId="77777777">
        <w:tblPrEx>
          <w:tblCellMar>
            <w:top w:w="0" w:type="dxa"/>
            <w:bottom w:w="0" w:type="dxa"/>
          </w:tblCellMar>
        </w:tblPrEx>
        <w:tc>
          <w:tcPr>
            <w:tcW w:w="1450" w:type="dxa"/>
            <w:tcMar>
              <w:top w:w="60" w:type="dxa"/>
              <w:left w:w="80" w:type="dxa"/>
              <w:bottom w:w="60" w:type="dxa"/>
              <w:right w:w="80" w:type="dxa"/>
            </w:tcMar>
            <w:vAlign w:val="center"/>
          </w:tcPr>
          <w:p w14:paraId="58DBC1B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Delhi et al., 2020 [1]</w:t>
            </w:r>
          </w:p>
        </w:tc>
        <w:tc>
          <w:tcPr>
            <w:tcW w:w="1900" w:type="dxa"/>
            <w:tcMar>
              <w:top w:w="60" w:type="dxa"/>
              <w:left w:w="80" w:type="dxa"/>
              <w:bottom w:w="60" w:type="dxa"/>
              <w:right w:w="80" w:type="dxa"/>
            </w:tcMar>
            <w:vAlign w:val="center"/>
          </w:tcPr>
          <w:p w14:paraId="01A3D73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PPE (hard hat, jacket) non-compliance detection</w:t>
            </w:r>
          </w:p>
        </w:tc>
        <w:tc>
          <w:tcPr>
            <w:tcW w:w="2350" w:type="dxa"/>
            <w:tcMar>
              <w:top w:w="60" w:type="dxa"/>
              <w:left w:w="80" w:type="dxa"/>
              <w:bottom w:w="60" w:type="dxa"/>
              <w:right w:w="80" w:type="dxa"/>
            </w:tcMar>
            <w:vAlign w:val="center"/>
          </w:tcPr>
          <w:p w14:paraId="0584EA66"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YOLOv3 CNN with transfer learning</w:t>
            </w:r>
          </w:p>
        </w:tc>
        <w:tc>
          <w:tcPr>
            <w:tcW w:w="1900" w:type="dxa"/>
            <w:tcMar>
              <w:top w:w="60" w:type="dxa"/>
              <w:left w:w="80" w:type="dxa"/>
              <w:bottom w:w="60" w:type="dxa"/>
              <w:right w:w="80" w:type="dxa"/>
            </w:tcMar>
            <w:vAlign w:val="center"/>
          </w:tcPr>
          <w:p w14:paraId="5720F71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Site CCTV image dataset</w:t>
            </w:r>
          </w:p>
        </w:tc>
        <w:tc>
          <w:tcPr>
            <w:tcW w:w="2650" w:type="dxa"/>
            <w:tcMar>
              <w:top w:w="60" w:type="dxa"/>
              <w:left w:w="80" w:type="dxa"/>
              <w:bottom w:w="60" w:type="dxa"/>
              <w:right w:w="80" w:type="dxa"/>
            </w:tcMar>
            <w:vAlign w:val="center"/>
          </w:tcPr>
          <w:p w14:paraId="26B4F16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Real-time framework feasible for safety workflow integration</w:t>
            </w:r>
          </w:p>
        </w:tc>
        <w:tc>
          <w:tcPr>
            <w:tcW w:w="2100" w:type="dxa"/>
            <w:tcMar>
              <w:top w:w="60" w:type="dxa"/>
              <w:left w:w="80" w:type="dxa"/>
              <w:bottom w:w="60" w:type="dxa"/>
              <w:right w:w="80" w:type="dxa"/>
            </w:tcMar>
            <w:vAlign w:val="center"/>
          </w:tcPr>
          <w:p w14:paraId="069CE8A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Limited PPE classes; single-site validation</w:t>
            </w:r>
          </w:p>
        </w:tc>
        <w:tc>
          <w:tcPr>
            <w:tcW w:w="2090" w:type="dxa"/>
            <w:tcMar>
              <w:top w:w="60" w:type="dxa"/>
              <w:left w:w="80" w:type="dxa"/>
              <w:bottom w:w="60" w:type="dxa"/>
              <w:right w:w="80" w:type="dxa"/>
            </w:tcMar>
            <w:vAlign w:val="center"/>
          </w:tcPr>
          <w:p w14:paraId="4C966DB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Lacks multi-camera fusion and occlusion handling</w:t>
            </w:r>
          </w:p>
        </w:tc>
      </w:tr>
      <w:tr w:rsidR="000E0571" w:rsidRPr="00FA0740" w14:paraId="4081F3EA" w14:textId="77777777">
        <w:tblPrEx>
          <w:tblCellMar>
            <w:top w:w="0" w:type="dxa"/>
            <w:bottom w:w="0" w:type="dxa"/>
          </w:tblCellMar>
        </w:tblPrEx>
        <w:tc>
          <w:tcPr>
            <w:tcW w:w="1450" w:type="dxa"/>
            <w:tcMar>
              <w:top w:w="60" w:type="dxa"/>
              <w:left w:w="80" w:type="dxa"/>
              <w:bottom w:w="60" w:type="dxa"/>
              <w:right w:w="80" w:type="dxa"/>
            </w:tcMar>
            <w:vAlign w:val="center"/>
          </w:tcPr>
          <w:p w14:paraId="1CC687E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Ferdous &amp; Ahsan, 2022 [2]</w:t>
            </w:r>
          </w:p>
        </w:tc>
        <w:tc>
          <w:tcPr>
            <w:tcW w:w="1900" w:type="dxa"/>
            <w:tcMar>
              <w:top w:w="60" w:type="dxa"/>
              <w:left w:w="80" w:type="dxa"/>
              <w:bottom w:w="60" w:type="dxa"/>
              <w:right w:w="80" w:type="dxa"/>
            </w:tcMar>
            <w:vAlign w:val="center"/>
          </w:tcPr>
          <w:p w14:paraId="0759118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Helmet/vest colour-class detection</w:t>
            </w:r>
          </w:p>
        </w:tc>
        <w:tc>
          <w:tcPr>
            <w:tcW w:w="2350" w:type="dxa"/>
            <w:tcMar>
              <w:top w:w="60" w:type="dxa"/>
              <w:left w:w="80" w:type="dxa"/>
              <w:bottom w:w="60" w:type="dxa"/>
              <w:right w:w="80" w:type="dxa"/>
            </w:tcMar>
            <w:vAlign w:val="center"/>
          </w:tcPr>
          <w:p w14:paraId="7F0107C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YOLO family (8 detector variants)</w:t>
            </w:r>
          </w:p>
        </w:tc>
        <w:tc>
          <w:tcPr>
            <w:tcW w:w="1900" w:type="dxa"/>
            <w:tcMar>
              <w:top w:w="60" w:type="dxa"/>
              <w:left w:w="80" w:type="dxa"/>
              <w:bottom w:w="60" w:type="dxa"/>
              <w:right w:w="80" w:type="dxa"/>
            </w:tcMar>
            <w:vAlign w:val="center"/>
          </w:tcPr>
          <w:p w14:paraId="65946AE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CHV public dataset</w:t>
            </w:r>
          </w:p>
        </w:tc>
        <w:tc>
          <w:tcPr>
            <w:tcW w:w="2650" w:type="dxa"/>
            <w:tcMar>
              <w:top w:w="60" w:type="dxa"/>
              <w:left w:w="80" w:type="dxa"/>
              <w:bottom w:w="60" w:type="dxa"/>
              <w:right w:w="80" w:type="dxa"/>
            </w:tcMar>
            <w:vAlign w:val="center"/>
          </w:tcPr>
          <w:p w14:paraId="09D62BD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High </w:t>
            </w:r>
            <w:proofErr w:type="spellStart"/>
            <w:r w:rsidRPr="00FA0740">
              <w:rPr>
                <w:rFonts w:ascii="Times New Roman" w:hAnsi="Times New Roman" w:cs="Times New Roman"/>
                <w:color w:val="000000"/>
                <w:sz w:val="24"/>
                <w:szCs w:val="24"/>
              </w:rPr>
              <w:t>mAP</w:t>
            </w:r>
            <w:proofErr w:type="spellEnd"/>
            <w:r w:rsidRPr="00FA0740">
              <w:rPr>
                <w:rFonts w:ascii="Times New Roman" w:hAnsi="Times New Roman" w:cs="Times New Roman"/>
                <w:color w:val="000000"/>
                <w:sz w:val="24"/>
                <w:szCs w:val="24"/>
              </w:rPr>
              <w:t>; identifies best-performing YOLO variant</w:t>
            </w:r>
          </w:p>
        </w:tc>
        <w:tc>
          <w:tcPr>
            <w:tcW w:w="2100" w:type="dxa"/>
            <w:tcMar>
              <w:top w:w="60" w:type="dxa"/>
              <w:left w:w="80" w:type="dxa"/>
              <w:bottom w:w="60" w:type="dxa"/>
              <w:right w:w="80" w:type="dxa"/>
            </w:tcMar>
            <w:vAlign w:val="center"/>
          </w:tcPr>
          <w:p w14:paraId="785B82C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Dataset bias toward helmets; limited PPE diversity</w:t>
            </w:r>
          </w:p>
        </w:tc>
        <w:tc>
          <w:tcPr>
            <w:tcW w:w="2090" w:type="dxa"/>
            <w:tcMar>
              <w:top w:w="60" w:type="dxa"/>
              <w:left w:w="80" w:type="dxa"/>
              <w:bottom w:w="60" w:type="dxa"/>
              <w:right w:w="80" w:type="dxa"/>
            </w:tcMar>
            <w:vAlign w:val="center"/>
          </w:tcPr>
          <w:p w14:paraId="69B42F2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 fusion with worker identity or zone context</w:t>
            </w:r>
          </w:p>
        </w:tc>
      </w:tr>
      <w:tr w:rsidR="000E0571" w:rsidRPr="00FA0740" w14:paraId="59FEF6DC" w14:textId="77777777">
        <w:tblPrEx>
          <w:tblCellMar>
            <w:top w:w="0" w:type="dxa"/>
            <w:bottom w:w="0" w:type="dxa"/>
          </w:tblCellMar>
        </w:tblPrEx>
        <w:tc>
          <w:tcPr>
            <w:tcW w:w="1450" w:type="dxa"/>
            <w:tcMar>
              <w:top w:w="60" w:type="dxa"/>
              <w:left w:w="80" w:type="dxa"/>
              <w:bottom w:w="60" w:type="dxa"/>
              <w:right w:w="80" w:type="dxa"/>
            </w:tcMar>
            <w:vAlign w:val="center"/>
          </w:tcPr>
          <w:p w14:paraId="54771E7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JCDE, 2023 [3]</w:t>
            </w:r>
          </w:p>
        </w:tc>
        <w:tc>
          <w:tcPr>
            <w:tcW w:w="1900" w:type="dxa"/>
            <w:tcMar>
              <w:top w:w="60" w:type="dxa"/>
              <w:left w:w="80" w:type="dxa"/>
              <w:bottom w:w="60" w:type="dxa"/>
              <w:right w:w="80" w:type="dxa"/>
            </w:tcMar>
            <w:vAlign w:val="center"/>
          </w:tcPr>
          <w:p w14:paraId="78D7A4F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Precise PPE-wearing status per worker</w:t>
            </w:r>
          </w:p>
        </w:tc>
        <w:tc>
          <w:tcPr>
            <w:tcW w:w="2350" w:type="dxa"/>
            <w:tcMar>
              <w:top w:w="60" w:type="dxa"/>
              <w:left w:w="80" w:type="dxa"/>
              <w:bottom w:w="60" w:type="dxa"/>
              <w:right w:w="80" w:type="dxa"/>
            </w:tcMar>
            <w:vAlign w:val="center"/>
          </w:tcPr>
          <w:p w14:paraId="03E1C39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Pixel-based instance segmentation + rule-based post-processing</w:t>
            </w:r>
          </w:p>
        </w:tc>
        <w:tc>
          <w:tcPr>
            <w:tcW w:w="1900" w:type="dxa"/>
            <w:tcMar>
              <w:top w:w="60" w:type="dxa"/>
              <w:left w:w="80" w:type="dxa"/>
              <w:bottom w:w="60" w:type="dxa"/>
              <w:right w:w="80" w:type="dxa"/>
            </w:tcMar>
            <w:vAlign w:val="center"/>
          </w:tcPr>
          <w:p w14:paraId="0718987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Custom site video streams</w:t>
            </w:r>
          </w:p>
        </w:tc>
        <w:tc>
          <w:tcPr>
            <w:tcW w:w="2650" w:type="dxa"/>
            <w:tcMar>
              <w:top w:w="60" w:type="dxa"/>
              <w:left w:w="80" w:type="dxa"/>
              <w:bottom w:w="60" w:type="dxa"/>
              <w:right w:w="80" w:type="dxa"/>
            </w:tcMar>
            <w:vAlign w:val="center"/>
          </w:tcPr>
          <w:p w14:paraId="559E2B0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More accurate boundary detection than bounding boxes</w:t>
            </w:r>
          </w:p>
        </w:tc>
        <w:tc>
          <w:tcPr>
            <w:tcW w:w="2100" w:type="dxa"/>
            <w:tcMar>
              <w:top w:w="60" w:type="dxa"/>
              <w:left w:w="80" w:type="dxa"/>
              <w:bottom w:w="60" w:type="dxa"/>
              <w:right w:w="80" w:type="dxa"/>
            </w:tcMar>
            <w:vAlign w:val="center"/>
          </w:tcPr>
          <w:p w14:paraId="2FE599E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High computation cost; rule-based logic is rigid</w:t>
            </w:r>
          </w:p>
        </w:tc>
        <w:tc>
          <w:tcPr>
            <w:tcW w:w="2090" w:type="dxa"/>
            <w:tcMar>
              <w:top w:w="60" w:type="dxa"/>
              <w:left w:w="80" w:type="dxa"/>
              <w:bottom w:w="60" w:type="dxa"/>
              <w:right w:w="80" w:type="dxa"/>
            </w:tcMar>
            <w:vAlign w:val="center"/>
          </w:tcPr>
          <w:p w14:paraId="164E6ED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Needs end-to-end </w:t>
            </w:r>
            <w:proofErr w:type="spellStart"/>
            <w:r w:rsidRPr="00FA0740">
              <w:rPr>
                <w:rFonts w:ascii="Times New Roman" w:hAnsi="Times New Roman" w:cs="Times New Roman"/>
                <w:color w:val="000000"/>
                <w:sz w:val="24"/>
                <w:szCs w:val="24"/>
              </w:rPr>
              <w:t>HoI</w:t>
            </w:r>
            <w:proofErr w:type="spellEnd"/>
            <w:r w:rsidRPr="00FA0740">
              <w:rPr>
                <w:rFonts w:ascii="Times New Roman" w:hAnsi="Times New Roman" w:cs="Times New Roman"/>
                <w:color w:val="000000"/>
                <w:sz w:val="24"/>
                <w:szCs w:val="24"/>
              </w:rPr>
              <w:t>/scene-graph learning</w:t>
            </w:r>
          </w:p>
        </w:tc>
      </w:tr>
      <w:tr w:rsidR="000E0571" w:rsidRPr="00FA0740" w14:paraId="71151D7E" w14:textId="77777777">
        <w:tblPrEx>
          <w:tblCellMar>
            <w:top w:w="0" w:type="dxa"/>
            <w:bottom w:w="0" w:type="dxa"/>
          </w:tblCellMar>
        </w:tblPrEx>
        <w:tc>
          <w:tcPr>
            <w:tcW w:w="1450" w:type="dxa"/>
            <w:tcMar>
              <w:top w:w="60" w:type="dxa"/>
              <w:left w:w="80" w:type="dxa"/>
              <w:bottom w:w="60" w:type="dxa"/>
              <w:right w:w="80" w:type="dxa"/>
            </w:tcMar>
            <w:vAlign w:val="center"/>
          </w:tcPr>
          <w:p w14:paraId="25513E1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ScienceDirect (SIVIS), 2025 [4]</w:t>
            </w:r>
          </w:p>
        </w:tc>
        <w:tc>
          <w:tcPr>
            <w:tcW w:w="1900" w:type="dxa"/>
            <w:tcMar>
              <w:top w:w="60" w:type="dxa"/>
              <w:left w:w="80" w:type="dxa"/>
              <w:bottom w:w="60" w:type="dxa"/>
              <w:right w:w="80" w:type="dxa"/>
            </w:tcMar>
            <w:vAlign w:val="center"/>
          </w:tcPr>
          <w:p w14:paraId="38C724D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PPE compliance under occlusion and crowding</w:t>
            </w:r>
          </w:p>
        </w:tc>
        <w:tc>
          <w:tcPr>
            <w:tcW w:w="2350" w:type="dxa"/>
            <w:tcMar>
              <w:top w:w="60" w:type="dxa"/>
              <w:left w:w="80" w:type="dxa"/>
              <w:bottom w:w="60" w:type="dxa"/>
              <w:right w:w="80" w:type="dxa"/>
            </w:tcMar>
            <w:vAlign w:val="center"/>
          </w:tcPr>
          <w:p w14:paraId="4ADC051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Deep detection + pose estimation for person-PPE assignment</w:t>
            </w:r>
          </w:p>
        </w:tc>
        <w:tc>
          <w:tcPr>
            <w:tcW w:w="1900" w:type="dxa"/>
            <w:tcMar>
              <w:top w:w="60" w:type="dxa"/>
              <w:left w:w="80" w:type="dxa"/>
              <w:bottom w:w="60" w:type="dxa"/>
              <w:right w:w="80" w:type="dxa"/>
            </w:tcMar>
            <w:vAlign w:val="center"/>
          </w:tcPr>
          <w:p w14:paraId="75BC592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Shipyard/construction industrial imagery</w:t>
            </w:r>
          </w:p>
        </w:tc>
        <w:tc>
          <w:tcPr>
            <w:tcW w:w="2650" w:type="dxa"/>
            <w:tcMar>
              <w:top w:w="60" w:type="dxa"/>
              <w:left w:w="80" w:type="dxa"/>
              <w:bottom w:w="60" w:type="dxa"/>
              <w:right w:w="80" w:type="dxa"/>
            </w:tcMar>
            <w:vAlign w:val="center"/>
          </w:tcPr>
          <w:p w14:paraId="55B4716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Improved correct assignment of PPE to individuals</w:t>
            </w:r>
          </w:p>
        </w:tc>
        <w:tc>
          <w:tcPr>
            <w:tcW w:w="2100" w:type="dxa"/>
            <w:tcMar>
              <w:top w:w="60" w:type="dxa"/>
              <w:left w:w="80" w:type="dxa"/>
              <w:bottom w:w="60" w:type="dxa"/>
              <w:right w:w="80" w:type="dxa"/>
            </w:tcMar>
            <w:vAlign w:val="center"/>
          </w:tcPr>
          <w:p w14:paraId="066E4BD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Domain-specific tuning required per site type</w:t>
            </w:r>
          </w:p>
        </w:tc>
        <w:tc>
          <w:tcPr>
            <w:tcW w:w="2090" w:type="dxa"/>
            <w:tcMar>
              <w:top w:w="60" w:type="dxa"/>
              <w:left w:w="80" w:type="dxa"/>
              <w:bottom w:w="60" w:type="dxa"/>
              <w:right w:w="80" w:type="dxa"/>
            </w:tcMar>
            <w:vAlign w:val="center"/>
          </w:tcPr>
          <w:p w14:paraId="505F3F8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Generalisation across heterogeneous sites unresolved</w:t>
            </w:r>
          </w:p>
        </w:tc>
      </w:tr>
      <w:tr w:rsidR="000E0571" w:rsidRPr="00FA0740" w14:paraId="0F1DF838" w14:textId="77777777">
        <w:tblPrEx>
          <w:tblCellMar>
            <w:top w:w="0" w:type="dxa"/>
            <w:bottom w:w="0" w:type="dxa"/>
          </w:tblCellMar>
        </w:tblPrEx>
        <w:tc>
          <w:tcPr>
            <w:tcW w:w="1450" w:type="dxa"/>
            <w:tcMar>
              <w:top w:w="60" w:type="dxa"/>
              <w:left w:w="80" w:type="dxa"/>
              <w:bottom w:w="60" w:type="dxa"/>
              <w:right w:w="80" w:type="dxa"/>
            </w:tcMar>
            <w:vAlign w:val="center"/>
          </w:tcPr>
          <w:p w14:paraId="521969D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Springer AI Review, 2024 [5]</w:t>
            </w:r>
          </w:p>
        </w:tc>
        <w:tc>
          <w:tcPr>
            <w:tcW w:w="1900" w:type="dxa"/>
            <w:tcMar>
              <w:top w:w="60" w:type="dxa"/>
              <w:left w:w="80" w:type="dxa"/>
              <w:bottom w:w="60" w:type="dxa"/>
              <w:right w:w="80" w:type="dxa"/>
            </w:tcMar>
            <w:vAlign w:val="center"/>
          </w:tcPr>
          <w:p w14:paraId="33FEAC6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State of the art in CV-based PPE compliance</w:t>
            </w:r>
          </w:p>
        </w:tc>
        <w:tc>
          <w:tcPr>
            <w:tcW w:w="2350" w:type="dxa"/>
            <w:tcMar>
              <w:top w:w="60" w:type="dxa"/>
              <w:left w:w="80" w:type="dxa"/>
              <w:bottom w:w="60" w:type="dxa"/>
              <w:right w:w="80" w:type="dxa"/>
            </w:tcMar>
            <w:vAlign w:val="center"/>
          </w:tcPr>
          <w:p w14:paraId="4C29E8C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Systematic literature review</w:t>
            </w:r>
          </w:p>
        </w:tc>
        <w:tc>
          <w:tcPr>
            <w:tcW w:w="1900" w:type="dxa"/>
            <w:tcMar>
              <w:top w:w="60" w:type="dxa"/>
              <w:left w:w="80" w:type="dxa"/>
              <w:bottom w:w="60" w:type="dxa"/>
              <w:right w:w="80" w:type="dxa"/>
            </w:tcMar>
            <w:vAlign w:val="center"/>
          </w:tcPr>
          <w:p w14:paraId="7ED4EF7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40+ primary studies</w:t>
            </w:r>
          </w:p>
        </w:tc>
        <w:tc>
          <w:tcPr>
            <w:tcW w:w="2650" w:type="dxa"/>
            <w:tcMar>
              <w:top w:w="60" w:type="dxa"/>
              <w:left w:w="80" w:type="dxa"/>
              <w:bottom w:w="60" w:type="dxa"/>
              <w:right w:w="80" w:type="dxa"/>
            </w:tcMar>
            <w:vAlign w:val="center"/>
          </w:tcPr>
          <w:p w14:paraId="49F29C44"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Maps trends, datasets, and evaluation metrics</w:t>
            </w:r>
          </w:p>
        </w:tc>
        <w:tc>
          <w:tcPr>
            <w:tcW w:w="2100" w:type="dxa"/>
            <w:tcMar>
              <w:top w:w="60" w:type="dxa"/>
              <w:left w:w="80" w:type="dxa"/>
              <w:bottom w:w="60" w:type="dxa"/>
              <w:right w:w="80" w:type="dxa"/>
            </w:tcMar>
            <w:vAlign w:val="center"/>
          </w:tcPr>
          <w:p w14:paraId="7B61AAD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Reporting inconsistency across primary studies</w:t>
            </w:r>
          </w:p>
        </w:tc>
        <w:tc>
          <w:tcPr>
            <w:tcW w:w="2090" w:type="dxa"/>
            <w:tcMar>
              <w:top w:w="60" w:type="dxa"/>
              <w:left w:w="80" w:type="dxa"/>
              <w:bottom w:w="60" w:type="dxa"/>
              <w:right w:w="80" w:type="dxa"/>
            </w:tcMar>
            <w:vAlign w:val="center"/>
          </w:tcPr>
          <w:p w14:paraId="6CE4585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 standard benchmark or evaluation protocol</w:t>
            </w:r>
          </w:p>
        </w:tc>
      </w:tr>
      <w:tr w:rsidR="000E0571" w:rsidRPr="00FA0740" w14:paraId="10046D6A" w14:textId="77777777">
        <w:tblPrEx>
          <w:tblCellMar>
            <w:top w:w="0" w:type="dxa"/>
            <w:bottom w:w="0" w:type="dxa"/>
          </w:tblCellMar>
        </w:tblPrEx>
        <w:tc>
          <w:tcPr>
            <w:tcW w:w="1450" w:type="dxa"/>
            <w:tcMar>
              <w:top w:w="60" w:type="dxa"/>
              <w:left w:w="80" w:type="dxa"/>
              <w:bottom w:w="60" w:type="dxa"/>
              <w:right w:w="80" w:type="dxa"/>
            </w:tcMar>
            <w:vAlign w:val="center"/>
          </w:tcPr>
          <w:p w14:paraId="0BC8448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Fang et al., 2018 [6]</w:t>
            </w:r>
          </w:p>
        </w:tc>
        <w:tc>
          <w:tcPr>
            <w:tcW w:w="1900" w:type="dxa"/>
            <w:tcMar>
              <w:top w:w="60" w:type="dxa"/>
              <w:left w:w="80" w:type="dxa"/>
              <w:bottom w:w="60" w:type="dxa"/>
              <w:right w:w="80" w:type="dxa"/>
            </w:tcMar>
            <w:vAlign w:val="center"/>
          </w:tcPr>
          <w:p w14:paraId="1CF8B94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Non-hardhat-use detection</w:t>
            </w:r>
          </w:p>
        </w:tc>
        <w:tc>
          <w:tcPr>
            <w:tcW w:w="2350" w:type="dxa"/>
            <w:tcMar>
              <w:top w:w="60" w:type="dxa"/>
              <w:left w:w="80" w:type="dxa"/>
              <w:bottom w:w="60" w:type="dxa"/>
              <w:right w:w="80" w:type="dxa"/>
            </w:tcMar>
            <w:vAlign w:val="center"/>
          </w:tcPr>
          <w:p w14:paraId="0CE84C9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Deep learning on far-field surveillance video</w:t>
            </w:r>
          </w:p>
        </w:tc>
        <w:tc>
          <w:tcPr>
            <w:tcW w:w="1900" w:type="dxa"/>
            <w:tcMar>
              <w:top w:w="60" w:type="dxa"/>
              <w:left w:w="80" w:type="dxa"/>
              <w:bottom w:w="60" w:type="dxa"/>
              <w:right w:w="80" w:type="dxa"/>
            </w:tcMar>
            <w:vAlign w:val="center"/>
          </w:tcPr>
          <w:p w14:paraId="46CEB2AA"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Far-field CCTV footage</w:t>
            </w:r>
          </w:p>
        </w:tc>
        <w:tc>
          <w:tcPr>
            <w:tcW w:w="2650" w:type="dxa"/>
            <w:tcMar>
              <w:top w:w="60" w:type="dxa"/>
              <w:left w:w="80" w:type="dxa"/>
              <w:bottom w:w="60" w:type="dxa"/>
              <w:right w:w="80" w:type="dxa"/>
            </w:tcMar>
            <w:vAlign w:val="center"/>
          </w:tcPr>
          <w:p w14:paraId="02A908F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Demonstrates feasibility at long camera range</w:t>
            </w:r>
          </w:p>
        </w:tc>
        <w:tc>
          <w:tcPr>
            <w:tcW w:w="2100" w:type="dxa"/>
            <w:tcMar>
              <w:top w:w="60" w:type="dxa"/>
              <w:left w:w="80" w:type="dxa"/>
              <w:bottom w:w="60" w:type="dxa"/>
              <w:right w:w="80" w:type="dxa"/>
            </w:tcMar>
            <w:vAlign w:val="center"/>
          </w:tcPr>
          <w:p w14:paraId="29CA949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Accuracy drops with distance and low resolution</w:t>
            </w:r>
          </w:p>
        </w:tc>
        <w:tc>
          <w:tcPr>
            <w:tcW w:w="2090" w:type="dxa"/>
            <w:tcMar>
              <w:top w:w="60" w:type="dxa"/>
              <w:left w:w="80" w:type="dxa"/>
              <w:bottom w:w="60" w:type="dxa"/>
              <w:right w:w="80" w:type="dxa"/>
            </w:tcMar>
            <w:vAlign w:val="center"/>
          </w:tcPr>
          <w:p w14:paraId="5BB37E6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Weak performance in cluttered, low-light scenes</w:t>
            </w:r>
          </w:p>
        </w:tc>
      </w:tr>
      <w:tr w:rsidR="000E0571" w:rsidRPr="00FA0740" w14:paraId="058471D4" w14:textId="77777777">
        <w:tblPrEx>
          <w:tblCellMar>
            <w:top w:w="0" w:type="dxa"/>
            <w:bottom w:w="0" w:type="dxa"/>
          </w:tblCellMar>
        </w:tblPrEx>
        <w:tc>
          <w:tcPr>
            <w:tcW w:w="1450" w:type="dxa"/>
            <w:tcMar>
              <w:top w:w="60" w:type="dxa"/>
              <w:left w:w="80" w:type="dxa"/>
              <w:bottom w:w="60" w:type="dxa"/>
              <w:right w:w="80" w:type="dxa"/>
            </w:tcMar>
            <w:vAlign w:val="center"/>
          </w:tcPr>
          <w:p w14:paraId="14E63FF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Wearable Sensing Review, 2025 [8]</w:t>
            </w:r>
          </w:p>
        </w:tc>
        <w:tc>
          <w:tcPr>
            <w:tcW w:w="1900" w:type="dxa"/>
            <w:tcMar>
              <w:top w:w="60" w:type="dxa"/>
              <w:left w:w="80" w:type="dxa"/>
              <w:bottom w:w="60" w:type="dxa"/>
              <w:right w:w="80" w:type="dxa"/>
            </w:tcMar>
            <w:vAlign w:val="center"/>
          </w:tcPr>
          <w:p w14:paraId="6031CDD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Worker status/behaviour via wearables</w:t>
            </w:r>
          </w:p>
        </w:tc>
        <w:tc>
          <w:tcPr>
            <w:tcW w:w="2350" w:type="dxa"/>
            <w:tcMar>
              <w:top w:w="60" w:type="dxa"/>
              <w:left w:w="80" w:type="dxa"/>
              <w:bottom w:w="60" w:type="dxa"/>
              <w:right w:w="80" w:type="dxa"/>
            </w:tcMar>
            <w:vAlign w:val="center"/>
          </w:tcPr>
          <w:p w14:paraId="71B361E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Bibliometric + qualitative review of WSDs</w:t>
            </w:r>
          </w:p>
        </w:tc>
        <w:tc>
          <w:tcPr>
            <w:tcW w:w="1900" w:type="dxa"/>
            <w:tcMar>
              <w:top w:w="60" w:type="dxa"/>
              <w:left w:w="80" w:type="dxa"/>
              <w:bottom w:w="60" w:type="dxa"/>
              <w:right w:w="80" w:type="dxa"/>
            </w:tcMar>
            <w:vAlign w:val="center"/>
          </w:tcPr>
          <w:p w14:paraId="09C0248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Smart helmets, vests, IMUs, GPS tags</w:t>
            </w:r>
          </w:p>
        </w:tc>
        <w:tc>
          <w:tcPr>
            <w:tcW w:w="2650" w:type="dxa"/>
            <w:tcMar>
              <w:top w:w="60" w:type="dxa"/>
              <w:left w:w="80" w:type="dxa"/>
              <w:bottom w:w="60" w:type="dxa"/>
              <w:right w:w="80" w:type="dxa"/>
            </w:tcMar>
            <w:vAlign w:val="center"/>
          </w:tcPr>
          <w:p w14:paraId="2B47074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Maps device types to safety-relevant metrics</w:t>
            </w:r>
          </w:p>
        </w:tc>
        <w:tc>
          <w:tcPr>
            <w:tcW w:w="2100" w:type="dxa"/>
            <w:tcMar>
              <w:top w:w="60" w:type="dxa"/>
              <w:left w:w="80" w:type="dxa"/>
              <w:bottom w:w="60" w:type="dxa"/>
              <w:right w:w="80" w:type="dxa"/>
            </w:tcMar>
            <w:vAlign w:val="center"/>
          </w:tcPr>
          <w:p w14:paraId="5EEEB7E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Fragmented research across device types</w:t>
            </w:r>
          </w:p>
        </w:tc>
        <w:tc>
          <w:tcPr>
            <w:tcW w:w="2090" w:type="dxa"/>
            <w:tcMar>
              <w:top w:w="60" w:type="dxa"/>
              <w:left w:w="80" w:type="dxa"/>
              <w:bottom w:w="60" w:type="dxa"/>
              <w:right w:w="80" w:type="dxa"/>
            </w:tcMar>
            <w:vAlign w:val="center"/>
          </w:tcPr>
          <w:p w14:paraId="07132BD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 unified framework linking WSD data to alerts</w:t>
            </w:r>
          </w:p>
        </w:tc>
      </w:tr>
      <w:tr w:rsidR="000E0571" w:rsidRPr="00FA0740" w14:paraId="14B5DDC8" w14:textId="77777777">
        <w:tblPrEx>
          <w:tblCellMar>
            <w:top w:w="0" w:type="dxa"/>
            <w:bottom w:w="0" w:type="dxa"/>
          </w:tblCellMar>
        </w:tblPrEx>
        <w:tc>
          <w:tcPr>
            <w:tcW w:w="1450" w:type="dxa"/>
            <w:tcMar>
              <w:top w:w="60" w:type="dxa"/>
              <w:left w:w="80" w:type="dxa"/>
              <w:bottom w:w="60" w:type="dxa"/>
              <w:right w:w="80" w:type="dxa"/>
            </w:tcMar>
            <w:vAlign w:val="center"/>
          </w:tcPr>
          <w:p w14:paraId="450F8C6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lastRenderedPageBreak/>
              <w:t>Lee et al., 2021 [9]</w:t>
            </w:r>
          </w:p>
        </w:tc>
        <w:tc>
          <w:tcPr>
            <w:tcW w:w="1900" w:type="dxa"/>
            <w:tcMar>
              <w:top w:w="60" w:type="dxa"/>
              <w:left w:w="80" w:type="dxa"/>
              <w:bottom w:w="60" w:type="dxa"/>
              <w:right w:w="80" w:type="dxa"/>
            </w:tcMar>
            <w:vAlign w:val="center"/>
          </w:tcPr>
          <w:p w14:paraId="0089788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Recognising workers' perceived risk</w:t>
            </w:r>
          </w:p>
        </w:tc>
        <w:tc>
          <w:tcPr>
            <w:tcW w:w="2350" w:type="dxa"/>
            <w:tcMar>
              <w:top w:w="60" w:type="dxa"/>
              <w:left w:w="80" w:type="dxa"/>
              <w:bottom w:w="60" w:type="dxa"/>
              <w:right w:w="80" w:type="dxa"/>
            </w:tcMar>
            <w:vAlign w:val="center"/>
          </w:tcPr>
          <w:p w14:paraId="34E270B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Bi-LSTM on physiological signals</w:t>
            </w:r>
          </w:p>
        </w:tc>
        <w:tc>
          <w:tcPr>
            <w:tcW w:w="1900" w:type="dxa"/>
            <w:tcMar>
              <w:top w:w="60" w:type="dxa"/>
              <w:left w:w="80" w:type="dxa"/>
              <w:bottom w:w="60" w:type="dxa"/>
              <w:right w:w="80" w:type="dxa"/>
            </w:tcMar>
            <w:vAlign w:val="center"/>
          </w:tcPr>
          <w:p w14:paraId="6E0C19B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Wrist-worn biosensor field data</w:t>
            </w:r>
          </w:p>
        </w:tc>
        <w:tc>
          <w:tcPr>
            <w:tcW w:w="2650" w:type="dxa"/>
            <w:tcMar>
              <w:top w:w="60" w:type="dxa"/>
              <w:left w:w="80" w:type="dxa"/>
              <w:bottom w:w="60" w:type="dxa"/>
              <w:right w:w="80" w:type="dxa"/>
            </w:tcMar>
            <w:vAlign w:val="center"/>
          </w:tcPr>
          <w:p w14:paraId="61436E0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99.94% accuracy, high F1-score</w:t>
            </w:r>
          </w:p>
        </w:tc>
        <w:tc>
          <w:tcPr>
            <w:tcW w:w="2100" w:type="dxa"/>
            <w:tcMar>
              <w:top w:w="60" w:type="dxa"/>
              <w:left w:w="80" w:type="dxa"/>
              <w:bottom w:w="60" w:type="dxa"/>
              <w:right w:w="80" w:type="dxa"/>
            </w:tcMar>
            <w:vAlign w:val="center"/>
          </w:tcPr>
          <w:p w14:paraId="72E05A4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Small participant sample; single-task context</w:t>
            </w:r>
          </w:p>
        </w:tc>
        <w:tc>
          <w:tcPr>
            <w:tcW w:w="2090" w:type="dxa"/>
            <w:tcMar>
              <w:top w:w="60" w:type="dxa"/>
              <w:left w:w="80" w:type="dxa"/>
              <w:bottom w:w="60" w:type="dxa"/>
              <w:right w:w="80" w:type="dxa"/>
            </w:tcMar>
            <w:vAlign w:val="center"/>
          </w:tcPr>
          <w:p w14:paraId="23F54DC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Needs validation across trades and climates</w:t>
            </w:r>
          </w:p>
        </w:tc>
      </w:tr>
      <w:tr w:rsidR="000E0571" w:rsidRPr="00FA0740" w14:paraId="30C4EDF8" w14:textId="77777777">
        <w:tblPrEx>
          <w:tblCellMar>
            <w:top w:w="0" w:type="dxa"/>
            <w:bottom w:w="0" w:type="dxa"/>
          </w:tblCellMar>
        </w:tblPrEx>
        <w:tc>
          <w:tcPr>
            <w:tcW w:w="1450" w:type="dxa"/>
            <w:tcMar>
              <w:top w:w="60" w:type="dxa"/>
              <w:left w:w="80" w:type="dxa"/>
              <w:bottom w:w="60" w:type="dxa"/>
              <w:right w:w="80" w:type="dxa"/>
            </w:tcMar>
            <w:vAlign w:val="center"/>
          </w:tcPr>
          <w:p w14:paraId="2009F94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Aryal et al., 2017 [10]</w:t>
            </w:r>
          </w:p>
        </w:tc>
        <w:tc>
          <w:tcPr>
            <w:tcW w:w="1900" w:type="dxa"/>
            <w:tcMar>
              <w:top w:w="60" w:type="dxa"/>
              <w:left w:w="80" w:type="dxa"/>
              <w:bottom w:w="60" w:type="dxa"/>
              <w:right w:w="80" w:type="dxa"/>
            </w:tcMar>
            <w:vAlign w:val="center"/>
          </w:tcPr>
          <w:p w14:paraId="39AC03E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Physical fatigue monitoring</w:t>
            </w:r>
          </w:p>
        </w:tc>
        <w:tc>
          <w:tcPr>
            <w:tcW w:w="2350" w:type="dxa"/>
            <w:tcMar>
              <w:top w:w="60" w:type="dxa"/>
              <w:left w:w="80" w:type="dxa"/>
              <w:bottom w:w="60" w:type="dxa"/>
              <w:right w:w="80" w:type="dxa"/>
            </w:tcMar>
            <w:vAlign w:val="center"/>
          </w:tcPr>
          <w:p w14:paraId="171EDE8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Physiological measurement analysis (heart rate)</w:t>
            </w:r>
          </w:p>
        </w:tc>
        <w:tc>
          <w:tcPr>
            <w:tcW w:w="1900" w:type="dxa"/>
            <w:tcMar>
              <w:top w:w="60" w:type="dxa"/>
              <w:left w:w="80" w:type="dxa"/>
              <w:bottom w:w="60" w:type="dxa"/>
              <w:right w:w="80" w:type="dxa"/>
            </w:tcMar>
            <w:vAlign w:val="center"/>
          </w:tcPr>
          <w:p w14:paraId="164CD06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Field-collected HR data</w:t>
            </w:r>
          </w:p>
        </w:tc>
        <w:tc>
          <w:tcPr>
            <w:tcW w:w="2650" w:type="dxa"/>
            <w:tcMar>
              <w:top w:w="60" w:type="dxa"/>
              <w:left w:w="80" w:type="dxa"/>
              <w:bottom w:w="60" w:type="dxa"/>
              <w:right w:w="80" w:type="dxa"/>
            </w:tcMar>
            <w:vAlign w:val="center"/>
          </w:tcPr>
          <w:p w14:paraId="1BE462C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Establishes fatigue-injury correlation pathway</w:t>
            </w:r>
          </w:p>
        </w:tc>
        <w:tc>
          <w:tcPr>
            <w:tcW w:w="2100" w:type="dxa"/>
            <w:tcMar>
              <w:top w:w="60" w:type="dxa"/>
              <w:left w:w="80" w:type="dxa"/>
              <w:bottom w:w="60" w:type="dxa"/>
              <w:right w:w="80" w:type="dxa"/>
            </w:tcMar>
            <w:vAlign w:val="center"/>
          </w:tcPr>
          <w:p w14:paraId="23AD3D56"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Intrusive sensors; short observation window</w:t>
            </w:r>
          </w:p>
        </w:tc>
        <w:tc>
          <w:tcPr>
            <w:tcW w:w="2090" w:type="dxa"/>
            <w:tcMar>
              <w:top w:w="60" w:type="dxa"/>
              <w:left w:w="80" w:type="dxa"/>
              <w:bottom w:w="60" w:type="dxa"/>
              <w:right w:w="80" w:type="dxa"/>
            </w:tcMar>
            <w:vAlign w:val="center"/>
          </w:tcPr>
          <w:p w14:paraId="4816E110"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Lacks integration with real-time alerting systems</w:t>
            </w:r>
          </w:p>
        </w:tc>
      </w:tr>
      <w:tr w:rsidR="000E0571" w:rsidRPr="00FA0740" w14:paraId="3709A114" w14:textId="77777777">
        <w:tblPrEx>
          <w:tblCellMar>
            <w:top w:w="0" w:type="dxa"/>
            <w:bottom w:w="0" w:type="dxa"/>
          </w:tblCellMar>
        </w:tblPrEx>
        <w:tc>
          <w:tcPr>
            <w:tcW w:w="1450" w:type="dxa"/>
            <w:tcMar>
              <w:top w:w="60" w:type="dxa"/>
              <w:left w:w="80" w:type="dxa"/>
              <w:bottom w:w="60" w:type="dxa"/>
              <w:right w:w="80" w:type="dxa"/>
            </w:tcMar>
            <w:vAlign w:val="center"/>
          </w:tcPr>
          <w:p w14:paraId="0DE9FDB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Kim et al., 2022 [13]</w:t>
            </w:r>
          </w:p>
        </w:tc>
        <w:tc>
          <w:tcPr>
            <w:tcW w:w="1900" w:type="dxa"/>
            <w:tcMar>
              <w:top w:w="60" w:type="dxa"/>
              <w:left w:w="80" w:type="dxa"/>
              <w:bottom w:w="60" w:type="dxa"/>
              <w:right w:w="80" w:type="dxa"/>
            </w:tcMar>
            <w:vAlign w:val="center"/>
          </w:tcPr>
          <w:p w14:paraId="64B6246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Worker-truck proximity risk</w:t>
            </w:r>
          </w:p>
        </w:tc>
        <w:tc>
          <w:tcPr>
            <w:tcW w:w="2350" w:type="dxa"/>
            <w:tcMar>
              <w:top w:w="60" w:type="dxa"/>
              <w:left w:w="80" w:type="dxa"/>
              <w:bottom w:w="60" w:type="dxa"/>
              <w:right w:w="80" w:type="dxa"/>
            </w:tcMar>
            <w:vAlign w:val="center"/>
          </w:tcPr>
          <w:p w14:paraId="3AA03B1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CNN detection + pose estimation + </w:t>
            </w:r>
            <w:proofErr w:type="spellStart"/>
            <w:r w:rsidRPr="00FA0740">
              <w:rPr>
                <w:rFonts w:ascii="Times New Roman" w:hAnsi="Times New Roman" w:cs="Times New Roman"/>
                <w:color w:val="000000"/>
                <w:sz w:val="24"/>
                <w:szCs w:val="24"/>
              </w:rPr>
              <w:t>homography</w:t>
            </w:r>
            <w:proofErr w:type="spellEnd"/>
            <w:r w:rsidRPr="00FA0740">
              <w:rPr>
                <w:rFonts w:ascii="Times New Roman" w:hAnsi="Times New Roman" w:cs="Times New Roman"/>
                <w:color w:val="000000"/>
                <w:sz w:val="24"/>
                <w:szCs w:val="24"/>
              </w:rPr>
              <w:t xml:space="preserve"> ("safety ellipse")</w:t>
            </w:r>
          </w:p>
        </w:tc>
        <w:tc>
          <w:tcPr>
            <w:tcW w:w="1900" w:type="dxa"/>
            <w:tcMar>
              <w:top w:w="60" w:type="dxa"/>
              <w:left w:w="80" w:type="dxa"/>
              <w:bottom w:w="60" w:type="dxa"/>
              <w:right w:w="80" w:type="dxa"/>
            </w:tcMar>
            <w:vAlign w:val="center"/>
          </w:tcPr>
          <w:p w14:paraId="3008DFB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CCTV video, truck occupied-space model</w:t>
            </w:r>
          </w:p>
        </w:tc>
        <w:tc>
          <w:tcPr>
            <w:tcW w:w="2650" w:type="dxa"/>
            <w:tcMar>
              <w:top w:w="60" w:type="dxa"/>
              <w:left w:w="80" w:type="dxa"/>
              <w:bottom w:w="60" w:type="dxa"/>
              <w:right w:w="80" w:type="dxa"/>
            </w:tcMar>
            <w:vAlign w:val="center"/>
          </w:tcPr>
          <w:p w14:paraId="5F7B45F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Posture-aware zone improves proximity accuracy</w:t>
            </w:r>
          </w:p>
        </w:tc>
        <w:tc>
          <w:tcPr>
            <w:tcW w:w="2100" w:type="dxa"/>
            <w:tcMar>
              <w:top w:w="60" w:type="dxa"/>
              <w:left w:w="80" w:type="dxa"/>
              <w:bottom w:w="60" w:type="dxa"/>
              <w:right w:w="80" w:type="dxa"/>
            </w:tcMar>
            <w:vAlign w:val="center"/>
          </w:tcPr>
          <w:p w14:paraId="1737464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Single camera view; limited to trucks</w:t>
            </w:r>
          </w:p>
        </w:tc>
        <w:tc>
          <w:tcPr>
            <w:tcW w:w="2090" w:type="dxa"/>
            <w:tcMar>
              <w:top w:w="60" w:type="dxa"/>
              <w:left w:w="80" w:type="dxa"/>
              <w:bottom w:w="60" w:type="dxa"/>
              <w:right w:w="80" w:type="dxa"/>
            </w:tcMar>
            <w:vAlign w:val="center"/>
          </w:tcPr>
          <w:p w14:paraId="3E900B2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 multi-equipment or 3D generalisation</w:t>
            </w:r>
          </w:p>
        </w:tc>
      </w:tr>
      <w:tr w:rsidR="000E0571" w:rsidRPr="00FA0740" w14:paraId="15862721" w14:textId="77777777">
        <w:tblPrEx>
          <w:tblCellMar>
            <w:top w:w="0" w:type="dxa"/>
            <w:bottom w:w="0" w:type="dxa"/>
          </w:tblCellMar>
        </w:tblPrEx>
        <w:tc>
          <w:tcPr>
            <w:tcW w:w="1450" w:type="dxa"/>
            <w:tcMar>
              <w:top w:w="60" w:type="dxa"/>
              <w:left w:w="80" w:type="dxa"/>
              <w:bottom w:w="60" w:type="dxa"/>
              <w:right w:w="80" w:type="dxa"/>
            </w:tcMar>
            <w:vAlign w:val="center"/>
          </w:tcPr>
          <w:p w14:paraId="07754D0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Son et al., 2019 [14]</w:t>
            </w:r>
          </w:p>
        </w:tc>
        <w:tc>
          <w:tcPr>
            <w:tcW w:w="1900" w:type="dxa"/>
            <w:tcMar>
              <w:top w:w="60" w:type="dxa"/>
              <w:left w:w="80" w:type="dxa"/>
              <w:bottom w:w="60" w:type="dxa"/>
              <w:right w:w="80" w:type="dxa"/>
            </w:tcMar>
            <w:vAlign w:val="center"/>
          </w:tcPr>
          <w:p w14:paraId="3A194B2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Worker-excavator collision prevention</w:t>
            </w:r>
          </w:p>
        </w:tc>
        <w:tc>
          <w:tcPr>
            <w:tcW w:w="2350" w:type="dxa"/>
            <w:tcMar>
              <w:top w:w="60" w:type="dxa"/>
              <w:left w:w="80" w:type="dxa"/>
              <w:bottom w:w="60" w:type="dxa"/>
              <w:right w:w="80" w:type="dxa"/>
            </w:tcMar>
            <w:vAlign w:val="center"/>
          </w:tcPr>
          <w:p w14:paraId="77640A4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Monocular camera 3D position estimation on equipment</w:t>
            </w:r>
          </w:p>
        </w:tc>
        <w:tc>
          <w:tcPr>
            <w:tcW w:w="1900" w:type="dxa"/>
            <w:tcMar>
              <w:top w:w="60" w:type="dxa"/>
              <w:left w:w="80" w:type="dxa"/>
              <w:bottom w:w="60" w:type="dxa"/>
              <w:right w:w="80" w:type="dxa"/>
            </w:tcMar>
            <w:vAlign w:val="center"/>
          </w:tcPr>
          <w:p w14:paraId="53EC199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Field trials on two excavator sizes</w:t>
            </w:r>
          </w:p>
        </w:tc>
        <w:tc>
          <w:tcPr>
            <w:tcW w:w="2650" w:type="dxa"/>
            <w:tcMar>
              <w:top w:w="60" w:type="dxa"/>
              <w:left w:w="80" w:type="dxa"/>
              <w:bottom w:w="60" w:type="dxa"/>
              <w:right w:w="80" w:type="dxa"/>
            </w:tcMar>
            <w:vAlign w:val="center"/>
          </w:tcPr>
          <w:p w14:paraId="239EAC2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Real-time operator alerts validated on site</w:t>
            </w:r>
          </w:p>
        </w:tc>
        <w:tc>
          <w:tcPr>
            <w:tcW w:w="2100" w:type="dxa"/>
            <w:tcMar>
              <w:top w:w="60" w:type="dxa"/>
              <w:left w:w="80" w:type="dxa"/>
              <w:bottom w:w="60" w:type="dxa"/>
              <w:right w:w="80" w:type="dxa"/>
            </w:tcMar>
            <w:vAlign w:val="center"/>
          </w:tcPr>
          <w:p w14:paraId="193FC03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Camera mounted only on equipment, blind spots remain</w:t>
            </w:r>
          </w:p>
        </w:tc>
        <w:tc>
          <w:tcPr>
            <w:tcW w:w="2090" w:type="dxa"/>
            <w:tcMar>
              <w:top w:w="60" w:type="dxa"/>
              <w:left w:w="80" w:type="dxa"/>
              <w:bottom w:w="60" w:type="dxa"/>
              <w:right w:w="80" w:type="dxa"/>
            </w:tcMar>
            <w:vAlign w:val="center"/>
          </w:tcPr>
          <w:p w14:paraId="3DBCF816"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Integration with autonomous equipment control untested</w:t>
            </w:r>
          </w:p>
        </w:tc>
      </w:tr>
      <w:tr w:rsidR="000E0571" w:rsidRPr="00FA0740" w14:paraId="1E02CC88" w14:textId="77777777">
        <w:tblPrEx>
          <w:tblCellMar>
            <w:top w:w="0" w:type="dxa"/>
            <w:bottom w:w="0" w:type="dxa"/>
          </w:tblCellMar>
        </w:tblPrEx>
        <w:tc>
          <w:tcPr>
            <w:tcW w:w="1450" w:type="dxa"/>
            <w:tcMar>
              <w:top w:w="60" w:type="dxa"/>
              <w:left w:w="80" w:type="dxa"/>
              <w:bottom w:w="60" w:type="dxa"/>
              <w:right w:w="80" w:type="dxa"/>
            </w:tcMar>
            <w:vAlign w:val="center"/>
          </w:tcPr>
          <w:p w14:paraId="5697ED3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RCSS, 2019 [15]</w:t>
            </w:r>
          </w:p>
        </w:tc>
        <w:tc>
          <w:tcPr>
            <w:tcW w:w="1900" w:type="dxa"/>
            <w:tcMar>
              <w:top w:w="60" w:type="dxa"/>
              <w:left w:w="80" w:type="dxa"/>
              <w:bottom w:w="60" w:type="dxa"/>
              <w:right w:w="80" w:type="dxa"/>
            </w:tcMar>
            <w:vAlign w:val="center"/>
          </w:tcPr>
          <w:p w14:paraId="1D75053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Collision prevention beyond line-of-sight</w:t>
            </w:r>
          </w:p>
        </w:tc>
        <w:tc>
          <w:tcPr>
            <w:tcW w:w="2350" w:type="dxa"/>
            <w:tcMar>
              <w:top w:w="60" w:type="dxa"/>
              <w:left w:w="80" w:type="dxa"/>
              <w:bottom w:w="60" w:type="dxa"/>
              <w:right w:w="80" w:type="dxa"/>
            </w:tcMar>
            <w:vAlign w:val="center"/>
          </w:tcPr>
          <w:p w14:paraId="2D56EB5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UWB proximity sensing + automatic equipment halt</w:t>
            </w:r>
          </w:p>
        </w:tc>
        <w:tc>
          <w:tcPr>
            <w:tcW w:w="1900" w:type="dxa"/>
            <w:tcMar>
              <w:top w:w="60" w:type="dxa"/>
              <w:left w:w="80" w:type="dxa"/>
              <w:bottom w:w="60" w:type="dxa"/>
              <w:right w:w="80" w:type="dxa"/>
            </w:tcMar>
            <w:vAlign w:val="center"/>
          </w:tcPr>
          <w:p w14:paraId="7A8E93C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Personal protection units, zone alert units</w:t>
            </w:r>
          </w:p>
        </w:tc>
        <w:tc>
          <w:tcPr>
            <w:tcW w:w="2650" w:type="dxa"/>
            <w:tcMar>
              <w:top w:w="60" w:type="dxa"/>
              <w:left w:w="80" w:type="dxa"/>
              <w:bottom w:w="60" w:type="dxa"/>
              <w:right w:w="80" w:type="dxa"/>
            </w:tcMar>
            <w:vAlign w:val="center"/>
          </w:tcPr>
          <w:p w14:paraId="4AC86E8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Enables non-line-of-sight, all-weather detection</w:t>
            </w:r>
          </w:p>
        </w:tc>
        <w:tc>
          <w:tcPr>
            <w:tcW w:w="2100" w:type="dxa"/>
            <w:tcMar>
              <w:top w:w="60" w:type="dxa"/>
              <w:left w:w="80" w:type="dxa"/>
              <w:bottom w:w="60" w:type="dxa"/>
              <w:right w:w="80" w:type="dxa"/>
            </w:tcMar>
            <w:vAlign w:val="center"/>
          </w:tcPr>
          <w:p w14:paraId="0645B35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Hardware cost and tag maintenance overhead</w:t>
            </w:r>
          </w:p>
        </w:tc>
        <w:tc>
          <w:tcPr>
            <w:tcW w:w="2090" w:type="dxa"/>
            <w:tcMar>
              <w:top w:w="60" w:type="dxa"/>
              <w:left w:w="80" w:type="dxa"/>
              <w:bottom w:w="60" w:type="dxa"/>
              <w:right w:w="80" w:type="dxa"/>
            </w:tcMar>
            <w:vAlign w:val="center"/>
          </w:tcPr>
          <w:p w14:paraId="3AFD2F0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Limited fusion with vision-based context</w:t>
            </w:r>
          </w:p>
        </w:tc>
      </w:tr>
      <w:tr w:rsidR="000E0571" w:rsidRPr="00FA0740" w14:paraId="6E0B8A22" w14:textId="77777777">
        <w:tblPrEx>
          <w:tblCellMar>
            <w:top w:w="0" w:type="dxa"/>
            <w:bottom w:w="0" w:type="dxa"/>
          </w:tblCellMar>
        </w:tblPrEx>
        <w:tc>
          <w:tcPr>
            <w:tcW w:w="1450" w:type="dxa"/>
            <w:tcMar>
              <w:top w:w="60" w:type="dxa"/>
              <w:left w:w="80" w:type="dxa"/>
              <w:bottom w:w="60" w:type="dxa"/>
              <w:right w:w="80" w:type="dxa"/>
            </w:tcMar>
            <w:vAlign w:val="center"/>
          </w:tcPr>
          <w:p w14:paraId="6C6D49D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PMC CCTV </w:t>
            </w:r>
            <w:proofErr w:type="spellStart"/>
            <w:r w:rsidRPr="00FA0740">
              <w:rPr>
                <w:rFonts w:ascii="Times New Roman" w:hAnsi="Times New Roman" w:cs="Times New Roman"/>
                <w:color w:val="000000"/>
                <w:sz w:val="24"/>
                <w:szCs w:val="24"/>
              </w:rPr>
              <w:t>Homography</w:t>
            </w:r>
            <w:proofErr w:type="spellEnd"/>
            <w:r w:rsidRPr="00FA0740">
              <w:rPr>
                <w:rFonts w:ascii="Times New Roman" w:hAnsi="Times New Roman" w:cs="Times New Roman"/>
                <w:color w:val="000000"/>
                <w:sz w:val="24"/>
                <w:szCs w:val="24"/>
              </w:rPr>
              <w:t>, 2023 [16]</w:t>
            </w:r>
          </w:p>
        </w:tc>
        <w:tc>
          <w:tcPr>
            <w:tcW w:w="1900" w:type="dxa"/>
            <w:tcMar>
              <w:top w:w="60" w:type="dxa"/>
              <w:left w:w="80" w:type="dxa"/>
              <w:bottom w:w="60" w:type="dxa"/>
              <w:right w:w="80" w:type="dxa"/>
            </w:tcMar>
            <w:vAlign w:val="center"/>
          </w:tcPr>
          <w:p w14:paraId="37B654B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Predicting collision danger state</w:t>
            </w:r>
          </w:p>
        </w:tc>
        <w:tc>
          <w:tcPr>
            <w:tcW w:w="2350" w:type="dxa"/>
            <w:tcMar>
              <w:top w:w="60" w:type="dxa"/>
              <w:left w:w="80" w:type="dxa"/>
              <w:bottom w:w="60" w:type="dxa"/>
              <w:right w:w="80" w:type="dxa"/>
            </w:tcMar>
            <w:vAlign w:val="center"/>
          </w:tcPr>
          <w:p w14:paraId="68DC85F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Trajectory prediction + Kalman filter + </w:t>
            </w:r>
            <w:proofErr w:type="spellStart"/>
            <w:r w:rsidRPr="00FA0740">
              <w:rPr>
                <w:rFonts w:ascii="Times New Roman" w:hAnsi="Times New Roman" w:cs="Times New Roman"/>
                <w:color w:val="000000"/>
                <w:sz w:val="24"/>
                <w:szCs w:val="24"/>
              </w:rPr>
              <w:t>homography</w:t>
            </w:r>
            <w:proofErr w:type="spellEnd"/>
          </w:p>
        </w:tc>
        <w:tc>
          <w:tcPr>
            <w:tcW w:w="1900" w:type="dxa"/>
            <w:tcMar>
              <w:top w:w="60" w:type="dxa"/>
              <w:left w:w="80" w:type="dxa"/>
              <w:bottom w:w="60" w:type="dxa"/>
              <w:right w:w="80" w:type="dxa"/>
            </w:tcMar>
            <w:vAlign w:val="center"/>
          </w:tcPr>
          <w:p w14:paraId="6F0CF36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Fixed CCTV site footage</w:t>
            </w:r>
          </w:p>
        </w:tc>
        <w:tc>
          <w:tcPr>
            <w:tcW w:w="2650" w:type="dxa"/>
            <w:tcMar>
              <w:top w:w="60" w:type="dxa"/>
              <w:left w:w="80" w:type="dxa"/>
              <w:bottom w:w="60" w:type="dxa"/>
              <w:right w:w="80" w:type="dxa"/>
            </w:tcMar>
            <w:vAlign w:val="center"/>
          </w:tcPr>
          <w:p w14:paraId="5EE2B4F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Predicts danger state ahead of actual proximity breach</w:t>
            </w:r>
          </w:p>
        </w:tc>
        <w:tc>
          <w:tcPr>
            <w:tcW w:w="2100" w:type="dxa"/>
            <w:tcMar>
              <w:top w:w="60" w:type="dxa"/>
              <w:left w:w="80" w:type="dxa"/>
              <w:bottom w:w="60" w:type="dxa"/>
              <w:right w:w="80" w:type="dxa"/>
            </w:tcMar>
            <w:vAlign w:val="center"/>
          </w:tcPr>
          <w:p w14:paraId="3A45865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Assumes flat reference plane; sensitive to camera angle</w:t>
            </w:r>
          </w:p>
        </w:tc>
        <w:tc>
          <w:tcPr>
            <w:tcW w:w="2090" w:type="dxa"/>
            <w:tcMar>
              <w:top w:w="60" w:type="dxa"/>
              <w:left w:w="80" w:type="dxa"/>
              <w:bottom w:w="60" w:type="dxa"/>
              <w:right w:w="80" w:type="dxa"/>
            </w:tcMar>
            <w:vAlign w:val="center"/>
          </w:tcPr>
          <w:p w14:paraId="184018F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Needs robustness on uneven/multi-level sites</w:t>
            </w:r>
          </w:p>
        </w:tc>
      </w:tr>
      <w:tr w:rsidR="000E0571" w:rsidRPr="00FA0740" w14:paraId="51CBE8CD" w14:textId="77777777">
        <w:tblPrEx>
          <w:tblCellMar>
            <w:top w:w="0" w:type="dxa"/>
            <w:bottom w:w="0" w:type="dxa"/>
          </w:tblCellMar>
        </w:tblPrEx>
        <w:tc>
          <w:tcPr>
            <w:tcW w:w="1450" w:type="dxa"/>
            <w:tcMar>
              <w:top w:w="60" w:type="dxa"/>
              <w:left w:w="80" w:type="dxa"/>
              <w:bottom w:w="60" w:type="dxa"/>
              <w:right w:w="80" w:type="dxa"/>
            </w:tcMar>
            <w:vAlign w:val="center"/>
          </w:tcPr>
          <w:p w14:paraId="4BBF2D9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Pujari et al., 2024 [18]</w:t>
            </w:r>
          </w:p>
        </w:tc>
        <w:tc>
          <w:tcPr>
            <w:tcW w:w="1900" w:type="dxa"/>
            <w:tcMar>
              <w:top w:w="60" w:type="dxa"/>
              <w:left w:w="80" w:type="dxa"/>
              <w:bottom w:w="60" w:type="dxa"/>
              <w:right w:w="80" w:type="dxa"/>
            </w:tcMar>
            <w:vAlign w:val="center"/>
          </w:tcPr>
          <w:p w14:paraId="0044E1C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Integrated hazard prediction platform</w:t>
            </w:r>
          </w:p>
        </w:tc>
        <w:tc>
          <w:tcPr>
            <w:tcW w:w="2350" w:type="dxa"/>
            <w:tcMar>
              <w:top w:w="60" w:type="dxa"/>
              <w:left w:w="80" w:type="dxa"/>
              <w:bottom w:w="60" w:type="dxa"/>
              <w:right w:w="80" w:type="dxa"/>
            </w:tcMar>
            <w:vAlign w:val="center"/>
          </w:tcPr>
          <w:p w14:paraId="6D968D0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IoT sensor network + ML hazard models</w:t>
            </w:r>
          </w:p>
        </w:tc>
        <w:tc>
          <w:tcPr>
            <w:tcW w:w="1900" w:type="dxa"/>
            <w:tcMar>
              <w:top w:w="60" w:type="dxa"/>
              <w:left w:w="80" w:type="dxa"/>
              <w:bottom w:w="60" w:type="dxa"/>
              <w:right w:w="80" w:type="dxa"/>
            </w:tcMar>
            <w:vAlign w:val="center"/>
          </w:tcPr>
          <w:p w14:paraId="43ACF114"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Multi-sensor site data</w:t>
            </w:r>
          </w:p>
        </w:tc>
        <w:tc>
          <w:tcPr>
            <w:tcW w:w="2650" w:type="dxa"/>
            <w:tcMar>
              <w:top w:w="60" w:type="dxa"/>
              <w:left w:w="80" w:type="dxa"/>
              <w:bottom w:w="60" w:type="dxa"/>
              <w:right w:w="80" w:type="dxa"/>
            </w:tcMar>
            <w:vAlign w:val="center"/>
          </w:tcPr>
          <w:p w14:paraId="5CA962A8"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Framework unifies sensing and prediction layers</w:t>
            </w:r>
          </w:p>
        </w:tc>
        <w:tc>
          <w:tcPr>
            <w:tcW w:w="2100" w:type="dxa"/>
            <w:tcMar>
              <w:top w:w="60" w:type="dxa"/>
              <w:left w:w="80" w:type="dxa"/>
              <w:bottom w:w="60" w:type="dxa"/>
              <w:right w:w="80" w:type="dxa"/>
            </w:tcMar>
            <w:vAlign w:val="center"/>
          </w:tcPr>
          <w:p w14:paraId="693AB16D"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Conceptual framework, limited large-scale field validation</w:t>
            </w:r>
          </w:p>
        </w:tc>
        <w:tc>
          <w:tcPr>
            <w:tcW w:w="2090" w:type="dxa"/>
            <w:tcMar>
              <w:top w:w="60" w:type="dxa"/>
              <w:left w:w="80" w:type="dxa"/>
              <w:bottom w:w="60" w:type="dxa"/>
              <w:right w:w="80" w:type="dxa"/>
            </w:tcMar>
            <w:vAlign w:val="center"/>
          </w:tcPr>
          <w:p w14:paraId="0BB5A01B"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Absence of standardised IoT-ML interoperability layer</w:t>
            </w:r>
          </w:p>
        </w:tc>
      </w:tr>
      <w:tr w:rsidR="000E0571" w:rsidRPr="00FA0740" w14:paraId="711EC9A8" w14:textId="77777777">
        <w:tblPrEx>
          <w:tblCellMar>
            <w:top w:w="0" w:type="dxa"/>
            <w:bottom w:w="0" w:type="dxa"/>
          </w:tblCellMar>
        </w:tblPrEx>
        <w:tc>
          <w:tcPr>
            <w:tcW w:w="1450" w:type="dxa"/>
            <w:tcMar>
              <w:top w:w="60" w:type="dxa"/>
              <w:left w:w="80" w:type="dxa"/>
              <w:bottom w:w="60" w:type="dxa"/>
              <w:right w:w="80" w:type="dxa"/>
            </w:tcMar>
            <w:vAlign w:val="center"/>
          </w:tcPr>
          <w:p w14:paraId="16AED4C5"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Scientific Reports, 2026 [19]</w:t>
            </w:r>
          </w:p>
        </w:tc>
        <w:tc>
          <w:tcPr>
            <w:tcW w:w="1900" w:type="dxa"/>
            <w:tcMar>
              <w:top w:w="60" w:type="dxa"/>
              <w:left w:w="80" w:type="dxa"/>
              <w:bottom w:w="60" w:type="dxa"/>
              <w:right w:w="80" w:type="dxa"/>
            </w:tcMar>
            <w:vAlign w:val="center"/>
          </w:tcPr>
          <w:p w14:paraId="4C254A4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Predicting incident nature and severity</w:t>
            </w:r>
          </w:p>
        </w:tc>
        <w:tc>
          <w:tcPr>
            <w:tcW w:w="2350" w:type="dxa"/>
            <w:tcMar>
              <w:top w:w="60" w:type="dxa"/>
              <w:left w:w="80" w:type="dxa"/>
              <w:bottom w:w="60" w:type="dxa"/>
              <w:right w:w="80" w:type="dxa"/>
            </w:tcMar>
            <w:vAlign w:val="center"/>
          </w:tcPr>
          <w:p w14:paraId="4DA069C7"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KNN, SVM, DT, RF, GB, </w:t>
            </w:r>
            <w:proofErr w:type="spellStart"/>
            <w:r w:rsidRPr="00FA0740">
              <w:rPr>
                <w:rFonts w:ascii="Times New Roman" w:hAnsi="Times New Roman" w:cs="Times New Roman"/>
                <w:color w:val="000000"/>
                <w:sz w:val="24"/>
                <w:szCs w:val="24"/>
              </w:rPr>
              <w:t>XGBoost</w:t>
            </w:r>
            <w:proofErr w:type="spellEnd"/>
          </w:p>
        </w:tc>
        <w:tc>
          <w:tcPr>
            <w:tcW w:w="1900" w:type="dxa"/>
            <w:tcMar>
              <w:top w:w="60" w:type="dxa"/>
              <w:left w:w="80" w:type="dxa"/>
              <w:bottom w:w="60" w:type="dxa"/>
              <w:right w:w="80" w:type="dxa"/>
            </w:tcMar>
            <w:vAlign w:val="center"/>
          </w:tcPr>
          <w:p w14:paraId="1E06D02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203 incidents, 14 variables (Saudi Arabia)</w:t>
            </w:r>
          </w:p>
        </w:tc>
        <w:tc>
          <w:tcPr>
            <w:tcW w:w="2650" w:type="dxa"/>
            <w:tcMar>
              <w:top w:w="60" w:type="dxa"/>
              <w:left w:w="80" w:type="dxa"/>
              <w:bottom w:w="60" w:type="dxa"/>
              <w:right w:w="80" w:type="dxa"/>
            </w:tcMar>
            <w:vAlign w:val="center"/>
          </w:tcPr>
          <w:p w14:paraId="066C78B5" w14:textId="77777777" w:rsidR="000E0571" w:rsidRPr="00FA0740" w:rsidRDefault="00000000">
            <w:pPr>
              <w:rPr>
                <w:rFonts w:ascii="Times New Roman" w:hAnsi="Times New Roman" w:cs="Times New Roman"/>
                <w:sz w:val="24"/>
                <w:szCs w:val="24"/>
              </w:rPr>
            </w:pPr>
            <w:proofErr w:type="spellStart"/>
            <w:r w:rsidRPr="00FA0740">
              <w:rPr>
                <w:rFonts w:ascii="Times New Roman" w:hAnsi="Times New Roman" w:cs="Times New Roman"/>
                <w:color w:val="000000"/>
                <w:sz w:val="24"/>
                <w:szCs w:val="24"/>
              </w:rPr>
              <w:t>XGBoost</w:t>
            </w:r>
            <w:proofErr w:type="spellEnd"/>
            <w:r w:rsidRPr="00FA0740">
              <w:rPr>
                <w:rFonts w:ascii="Times New Roman" w:hAnsi="Times New Roman" w:cs="Times New Roman"/>
                <w:color w:val="000000"/>
                <w:sz w:val="24"/>
                <w:szCs w:val="24"/>
              </w:rPr>
              <w:t xml:space="preserve"> best; 89% accuracy for severity prediction</w:t>
            </w:r>
          </w:p>
        </w:tc>
        <w:tc>
          <w:tcPr>
            <w:tcW w:w="2100" w:type="dxa"/>
            <w:tcMar>
              <w:top w:w="60" w:type="dxa"/>
              <w:left w:w="80" w:type="dxa"/>
              <w:bottom w:w="60" w:type="dxa"/>
              <w:right w:w="80" w:type="dxa"/>
            </w:tcMar>
            <w:vAlign w:val="center"/>
          </w:tcPr>
          <w:p w14:paraId="0A5F79F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Small regional dataset; excludes near-miss data</w:t>
            </w:r>
          </w:p>
        </w:tc>
        <w:tc>
          <w:tcPr>
            <w:tcW w:w="2090" w:type="dxa"/>
            <w:tcMar>
              <w:top w:w="60" w:type="dxa"/>
              <w:left w:w="80" w:type="dxa"/>
              <w:bottom w:w="60" w:type="dxa"/>
              <w:right w:w="80" w:type="dxa"/>
            </w:tcMar>
            <w:vAlign w:val="center"/>
          </w:tcPr>
          <w:p w14:paraId="0BD7CEA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Needs larger, multi-region, real-time-fed datasets</w:t>
            </w:r>
          </w:p>
        </w:tc>
      </w:tr>
      <w:tr w:rsidR="000E0571" w:rsidRPr="00FA0740" w14:paraId="2E326546" w14:textId="77777777">
        <w:tblPrEx>
          <w:tblCellMar>
            <w:top w:w="0" w:type="dxa"/>
            <w:bottom w:w="0" w:type="dxa"/>
          </w:tblCellMar>
        </w:tblPrEx>
        <w:tc>
          <w:tcPr>
            <w:tcW w:w="1450" w:type="dxa"/>
            <w:tcMar>
              <w:top w:w="60" w:type="dxa"/>
              <w:left w:w="80" w:type="dxa"/>
              <w:bottom w:w="60" w:type="dxa"/>
              <w:right w:w="80" w:type="dxa"/>
            </w:tcMar>
            <w:vAlign w:val="center"/>
          </w:tcPr>
          <w:p w14:paraId="452B23B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JCEM Critical Review, 2026 [20]</w:t>
            </w:r>
          </w:p>
        </w:tc>
        <w:tc>
          <w:tcPr>
            <w:tcW w:w="1900" w:type="dxa"/>
            <w:tcMar>
              <w:top w:w="60" w:type="dxa"/>
              <w:left w:w="80" w:type="dxa"/>
              <w:bottom w:w="60" w:type="dxa"/>
              <w:right w:w="80" w:type="dxa"/>
            </w:tcMar>
            <w:vAlign w:val="center"/>
          </w:tcPr>
          <w:p w14:paraId="230552A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State of ML in accident analysis/prevention</w:t>
            </w:r>
          </w:p>
        </w:tc>
        <w:tc>
          <w:tcPr>
            <w:tcW w:w="2350" w:type="dxa"/>
            <w:tcMar>
              <w:top w:w="60" w:type="dxa"/>
              <w:left w:w="80" w:type="dxa"/>
              <w:bottom w:w="60" w:type="dxa"/>
              <w:right w:w="80" w:type="dxa"/>
            </w:tcMar>
            <w:vAlign w:val="center"/>
          </w:tcPr>
          <w:p w14:paraId="1E3FEB1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Hybrid bibliometric + systematic review</w:t>
            </w:r>
          </w:p>
        </w:tc>
        <w:tc>
          <w:tcPr>
            <w:tcW w:w="1900" w:type="dxa"/>
            <w:tcMar>
              <w:top w:w="60" w:type="dxa"/>
              <w:left w:w="80" w:type="dxa"/>
              <w:bottom w:w="60" w:type="dxa"/>
              <w:right w:w="80" w:type="dxa"/>
            </w:tcMar>
            <w:vAlign w:val="center"/>
          </w:tcPr>
          <w:p w14:paraId="1529B954"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Country, organisation, project-level studies</w:t>
            </w:r>
          </w:p>
        </w:tc>
        <w:tc>
          <w:tcPr>
            <w:tcW w:w="2650" w:type="dxa"/>
            <w:tcMar>
              <w:top w:w="60" w:type="dxa"/>
              <w:left w:w="80" w:type="dxa"/>
              <w:bottom w:w="60" w:type="dxa"/>
              <w:right w:w="80" w:type="dxa"/>
            </w:tcMar>
            <w:vAlign w:val="center"/>
          </w:tcPr>
          <w:p w14:paraId="7CB7904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Identifies six ML application clusters in safety</w:t>
            </w:r>
          </w:p>
        </w:tc>
        <w:tc>
          <w:tcPr>
            <w:tcW w:w="2100" w:type="dxa"/>
            <w:tcMar>
              <w:top w:w="60" w:type="dxa"/>
              <w:left w:w="80" w:type="dxa"/>
              <w:bottom w:w="60" w:type="dxa"/>
              <w:right w:w="80" w:type="dxa"/>
            </w:tcMar>
            <w:vAlign w:val="center"/>
          </w:tcPr>
          <w:p w14:paraId="2927AA13"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Most studies remain siloed by application level</w:t>
            </w:r>
          </w:p>
        </w:tc>
        <w:tc>
          <w:tcPr>
            <w:tcW w:w="2090" w:type="dxa"/>
            <w:tcMar>
              <w:top w:w="60" w:type="dxa"/>
              <w:left w:w="80" w:type="dxa"/>
              <w:bottom w:w="60" w:type="dxa"/>
              <w:right w:w="80" w:type="dxa"/>
            </w:tcMar>
            <w:vAlign w:val="center"/>
          </w:tcPr>
          <w:p w14:paraId="71B4551E"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No integrated country-to-site ML pipeline exists</w:t>
            </w:r>
          </w:p>
        </w:tc>
      </w:tr>
      <w:tr w:rsidR="000E0571" w:rsidRPr="00FA0740" w14:paraId="1CE314E7" w14:textId="77777777">
        <w:tblPrEx>
          <w:tblCellMar>
            <w:top w:w="0" w:type="dxa"/>
            <w:bottom w:w="0" w:type="dxa"/>
          </w:tblCellMar>
        </w:tblPrEx>
        <w:tc>
          <w:tcPr>
            <w:tcW w:w="1450" w:type="dxa"/>
            <w:tcMar>
              <w:top w:w="60" w:type="dxa"/>
              <w:left w:w="80" w:type="dxa"/>
              <w:bottom w:w="60" w:type="dxa"/>
              <w:right w:w="80" w:type="dxa"/>
            </w:tcMar>
            <w:vAlign w:val="center"/>
          </w:tcPr>
          <w:p w14:paraId="5E63EE3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Buildings (</w:t>
            </w:r>
            <w:proofErr w:type="spellStart"/>
            <w:r w:rsidRPr="00FA0740">
              <w:rPr>
                <w:rFonts w:ascii="Times New Roman" w:hAnsi="Times New Roman" w:cs="Times New Roman"/>
                <w:color w:val="000000"/>
                <w:sz w:val="24"/>
                <w:szCs w:val="24"/>
              </w:rPr>
              <w:t>Jinji</w:t>
            </w:r>
            <w:proofErr w:type="spellEnd"/>
            <w:r w:rsidRPr="00FA0740">
              <w:rPr>
                <w:rFonts w:ascii="Times New Roman" w:hAnsi="Times New Roman" w:cs="Times New Roman"/>
                <w:color w:val="000000"/>
                <w:sz w:val="24"/>
                <w:szCs w:val="24"/>
              </w:rPr>
              <w:t xml:space="preserve"> Lake), 2025 [21]</w:t>
            </w:r>
          </w:p>
        </w:tc>
        <w:tc>
          <w:tcPr>
            <w:tcW w:w="1900" w:type="dxa"/>
            <w:tcMar>
              <w:top w:w="60" w:type="dxa"/>
              <w:left w:w="80" w:type="dxa"/>
              <w:bottom w:w="60" w:type="dxa"/>
              <w:right w:w="80" w:type="dxa"/>
            </w:tcMar>
            <w:vAlign w:val="center"/>
          </w:tcPr>
          <w:p w14:paraId="3AB5BDB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Deep excavation safety early warning</w:t>
            </w:r>
          </w:p>
        </w:tc>
        <w:tc>
          <w:tcPr>
            <w:tcW w:w="2350" w:type="dxa"/>
            <w:tcMar>
              <w:top w:w="60" w:type="dxa"/>
              <w:left w:w="80" w:type="dxa"/>
              <w:bottom w:w="60" w:type="dxa"/>
              <w:right w:w="80" w:type="dxa"/>
            </w:tcMar>
            <w:vAlign w:val="center"/>
          </w:tcPr>
          <w:p w14:paraId="693D0A19"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 xml:space="preserve">CNN + </w:t>
            </w:r>
            <w:proofErr w:type="spellStart"/>
            <w:r w:rsidRPr="00FA0740">
              <w:rPr>
                <w:rFonts w:ascii="Times New Roman" w:hAnsi="Times New Roman" w:cs="Times New Roman"/>
                <w:color w:val="000000"/>
                <w:sz w:val="24"/>
                <w:szCs w:val="24"/>
              </w:rPr>
              <w:t>ResUnit</w:t>
            </w:r>
            <w:proofErr w:type="spellEnd"/>
            <w:r w:rsidRPr="00FA0740">
              <w:rPr>
                <w:rFonts w:ascii="Times New Roman" w:hAnsi="Times New Roman" w:cs="Times New Roman"/>
                <w:color w:val="000000"/>
                <w:sz w:val="24"/>
                <w:szCs w:val="24"/>
              </w:rPr>
              <w:t xml:space="preserve"> + LSTM (DL-MSD) with BIM/IoT fusion</w:t>
            </w:r>
          </w:p>
        </w:tc>
        <w:tc>
          <w:tcPr>
            <w:tcW w:w="1900" w:type="dxa"/>
            <w:tcMar>
              <w:top w:w="60" w:type="dxa"/>
              <w:left w:w="80" w:type="dxa"/>
              <w:bottom w:w="60" w:type="dxa"/>
              <w:right w:w="80" w:type="dxa"/>
            </w:tcMar>
            <w:vAlign w:val="center"/>
          </w:tcPr>
          <w:p w14:paraId="65B94662"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6,524 field monitoring samples</w:t>
            </w:r>
          </w:p>
        </w:tc>
        <w:tc>
          <w:tcPr>
            <w:tcW w:w="2650" w:type="dxa"/>
            <w:tcMar>
              <w:top w:w="60" w:type="dxa"/>
              <w:left w:w="80" w:type="dxa"/>
              <w:bottom w:w="60" w:type="dxa"/>
              <w:right w:w="80" w:type="dxa"/>
            </w:tcMar>
            <w:vAlign w:val="center"/>
          </w:tcPr>
          <w:p w14:paraId="0FCE0D9F"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90.2% single-factor, 77.1% multi-factor warning accuracy</w:t>
            </w:r>
          </w:p>
        </w:tc>
        <w:tc>
          <w:tcPr>
            <w:tcW w:w="2100" w:type="dxa"/>
            <w:tcMar>
              <w:top w:w="60" w:type="dxa"/>
              <w:left w:w="80" w:type="dxa"/>
              <w:bottom w:w="60" w:type="dxa"/>
              <w:right w:w="80" w:type="dxa"/>
            </w:tcMar>
            <w:vAlign w:val="center"/>
          </w:tcPr>
          <w:p w14:paraId="6EED5571"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Tuned to one geotechnical context (deep foundation pit)</w:t>
            </w:r>
          </w:p>
        </w:tc>
        <w:tc>
          <w:tcPr>
            <w:tcW w:w="2090" w:type="dxa"/>
            <w:tcMar>
              <w:top w:w="60" w:type="dxa"/>
              <w:left w:w="80" w:type="dxa"/>
              <w:bottom w:w="60" w:type="dxa"/>
              <w:right w:w="80" w:type="dxa"/>
            </w:tcMar>
            <w:vAlign w:val="center"/>
          </w:tcPr>
          <w:p w14:paraId="21F3B13C" w14:textId="77777777" w:rsidR="000E0571" w:rsidRPr="00FA0740" w:rsidRDefault="00000000">
            <w:pPr>
              <w:rPr>
                <w:rFonts w:ascii="Times New Roman" w:hAnsi="Times New Roman" w:cs="Times New Roman"/>
                <w:sz w:val="24"/>
                <w:szCs w:val="24"/>
              </w:rPr>
            </w:pPr>
            <w:r w:rsidRPr="00FA0740">
              <w:rPr>
                <w:rFonts w:ascii="Times New Roman" w:hAnsi="Times New Roman" w:cs="Times New Roman"/>
                <w:color w:val="000000"/>
                <w:sz w:val="24"/>
                <w:szCs w:val="24"/>
              </w:rPr>
              <w:t>Multi-source fusion accuracy drops in complex scenarios</w:t>
            </w:r>
          </w:p>
        </w:tc>
      </w:tr>
    </w:tbl>
    <w:p w14:paraId="4EA5AE0B" w14:textId="77777777" w:rsidR="000E0571" w:rsidRPr="00FA0740" w:rsidRDefault="000E0571">
      <w:pPr>
        <w:rPr>
          <w:rFonts w:ascii="Times New Roman" w:hAnsi="Times New Roman" w:cs="Times New Roman"/>
          <w:sz w:val="24"/>
          <w:szCs w:val="24"/>
        </w:rPr>
        <w:sectPr w:rsidR="000E0571" w:rsidRPr="00FA0740">
          <w:pgSz w:w="15840" w:h="12240"/>
          <w:pgMar w:top="700" w:right="620" w:bottom="700" w:left="620" w:header="708" w:footer="708" w:gutter="0"/>
          <w:cols w:space="720"/>
          <w:docGrid w:linePitch="360"/>
        </w:sectPr>
      </w:pPr>
    </w:p>
    <w:p w14:paraId="4512CAD1"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9. Conclusion</w:t>
      </w:r>
    </w:p>
    <w:p w14:paraId="7CFB8033" w14:textId="77777777" w:rsidR="000E0571" w:rsidRPr="00FA0740" w:rsidRDefault="00000000">
      <w:pPr>
        <w:spacing w:after="160" w:line="276" w:lineRule="auto"/>
        <w:jc w:val="both"/>
        <w:rPr>
          <w:rFonts w:ascii="Times New Roman" w:hAnsi="Times New Roman" w:cs="Times New Roman"/>
          <w:sz w:val="24"/>
          <w:szCs w:val="24"/>
        </w:rPr>
      </w:pPr>
      <w:r w:rsidRPr="00FA0740">
        <w:rPr>
          <w:rFonts w:ascii="Times New Roman" w:hAnsi="Times New Roman" w:cs="Times New Roman"/>
          <w:sz w:val="24"/>
          <w:szCs w:val="24"/>
        </w:rPr>
        <w:t>This literature survey reviewed twenty-two research contributions spanning computer-vision-based PPE detection, wearable and physiological sensing, equipment-worker proximity and collision avoidance, machine-learning-based accident risk prediction, and integrated IoT/BIM safety platforms. The reviewed body of work confirms that the individual technical components required for an AI-driven construction safety platform — real-time object detection, pose and posture estimation, wearable physiological monitoring, wireless proximity sensing, and historical-data-driven risk modelling — are each independently mature and well validated. However, the survey also confirms a clear and consistent research gap: no reviewed study demonstrates a fully integrated, multi-modal, multi-project platform that fuses these data streams into a single continuous, proactive, and scalable safety-monitoring system. Closing this gap through cross-modal fusion, streaming risk prediction, standardised benchmarking, and privacy-preserving multi-site learning represents the most promising direction for the proposed AI-Driven Construction Site Safety Monitoring Platform.</w:t>
      </w:r>
    </w:p>
    <w:p w14:paraId="57722148" w14:textId="77777777" w:rsidR="000E0571" w:rsidRPr="00FA0740" w:rsidRDefault="00000000">
      <w:pPr>
        <w:pStyle w:val="Heading1"/>
        <w:spacing w:before="320" w:after="160"/>
        <w:rPr>
          <w:rFonts w:ascii="Times New Roman" w:hAnsi="Times New Roman" w:cs="Times New Roman"/>
          <w:sz w:val="24"/>
          <w:szCs w:val="24"/>
        </w:rPr>
      </w:pPr>
      <w:r w:rsidRPr="00FA0740">
        <w:rPr>
          <w:rFonts w:ascii="Times New Roman" w:hAnsi="Times New Roman" w:cs="Times New Roman"/>
          <w:b/>
          <w:bCs/>
          <w:color w:val="1F3864"/>
          <w:sz w:val="24"/>
          <w:szCs w:val="24"/>
        </w:rPr>
        <w:t>10. References</w:t>
      </w:r>
    </w:p>
    <w:p w14:paraId="5073B1A1"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 </w:t>
      </w:r>
      <w:r w:rsidRPr="00FA0740">
        <w:rPr>
          <w:rFonts w:ascii="Times New Roman" w:hAnsi="Times New Roman" w:cs="Times New Roman"/>
          <w:sz w:val="24"/>
          <w:szCs w:val="24"/>
        </w:rPr>
        <w:t>V. S. K. Delhi, R. Sankarlal, and A. Thomas, "Detection of personal protective equipment (PPE) compliance on construction site using computer vision based deep learning techniques," Frontiers in Built Environment, vol. 6, art. 136, 2020.</w:t>
      </w:r>
    </w:p>
    <w:p w14:paraId="01724B9A"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[2] </w:t>
      </w:r>
      <w:r w:rsidRPr="00FA0740">
        <w:rPr>
          <w:rFonts w:ascii="Times New Roman" w:hAnsi="Times New Roman" w:cs="Times New Roman"/>
          <w:sz w:val="24"/>
          <w:szCs w:val="24"/>
        </w:rPr>
        <w:t xml:space="preserve">M. Ferdous and S. M. M. Ahsan, "PPE detector: a YOLO-based architecture to detect personal protective equipment (PPE) for construction sites," </w:t>
      </w:r>
      <w:proofErr w:type="spellStart"/>
      <w:r w:rsidRPr="00FA0740">
        <w:rPr>
          <w:rFonts w:ascii="Times New Roman" w:hAnsi="Times New Roman" w:cs="Times New Roman"/>
          <w:sz w:val="24"/>
          <w:szCs w:val="24"/>
        </w:rPr>
        <w:t>PeerJ</w:t>
      </w:r>
      <w:proofErr w:type="spellEnd"/>
      <w:r w:rsidRPr="00FA0740">
        <w:rPr>
          <w:rFonts w:ascii="Times New Roman" w:hAnsi="Times New Roman" w:cs="Times New Roman"/>
          <w:sz w:val="24"/>
          <w:szCs w:val="24"/>
        </w:rPr>
        <w:t xml:space="preserve"> Computer Science, vol. 8, art. e999, 2022.</w:t>
      </w:r>
    </w:p>
    <w:p w14:paraId="18CB0BD2"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[3] </w:t>
      </w:r>
      <w:r w:rsidRPr="00FA0740">
        <w:rPr>
          <w:rFonts w:ascii="Times New Roman" w:hAnsi="Times New Roman" w:cs="Times New Roman"/>
          <w:sz w:val="24"/>
          <w:szCs w:val="24"/>
        </w:rPr>
        <w:t>"Deep learning-based framework for monitoring wearing personal protective equipment on construction sites," Journal of Computational Design and Engineering, vol. 10, no. 2, pp. 905-917, 2023.</w:t>
      </w:r>
    </w:p>
    <w:p w14:paraId="40912599"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[4] </w:t>
      </w:r>
      <w:r w:rsidRPr="00FA0740">
        <w:rPr>
          <w:rFonts w:ascii="Times New Roman" w:hAnsi="Times New Roman" w:cs="Times New Roman"/>
          <w:sz w:val="24"/>
          <w:szCs w:val="24"/>
        </w:rPr>
        <w:t>"Automated PPE compliance monitoring in industrial environments using deep learning-based detection and pose estimation," Automation in Construction, ScienceDirect, 2025.</w:t>
      </w:r>
    </w:p>
    <w:p w14:paraId="1B5C274D"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[5] </w:t>
      </w:r>
      <w:r w:rsidRPr="00FA0740">
        <w:rPr>
          <w:rFonts w:ascii="Times New Roman" w:hAnsi="Times New Roman" w:cs="Times New Roman"/>
          <w:sz w:val="24"/>
          <w:szCs w:val="24"/>
        </w:rPr>
        <w:t>"A systematic review of computer vision-based personal protective equipment compliance in industry practice: advancements, challenges and future directions," Artificial Intelligence Review, Springer Nature, 2024.</w:t>
      </w:r>
    </w:p>
    <w:p w14:paraId="395C867F"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[6] </w:t>
      </w:r>
      <w:r w:rsidRPr="00FA0740">
        <w:rPr>
          <w:rFonts w:ascii="Times New Roman" w:hAnsi="Times New Roman" w:cs="Times New Roman"/>
          <w:sz w:val="24"/>
          <w:szCs w:val="24"/>
        </w:rPr>
        <w:t>Q. Fang, H. Li, X. Luo, et al., "Detecting non-hardhat-use by a deep learning method from far-field surveillance videos," Automation in Construction, vol. 85, pp. 1-9, 2018.</w:t>
      </w:r>
    </w:p>
    <w:p w14:paraId="2DA08197"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[7] </w:t>
      </w:r>
      <w:r w:rsidRPr="00FA0740">
        <w:rPr>
          <w:rFonts w:ascii="Times New Roman" w:hAnsi="Times New Roman" w:cs="Times New Roman"/>
          <w:sz w:val="24"/>
          <w:szCs w:val="24"/>
        </w:rPr>
        <w:t>M. U. Farooq, M. A. Bhutto, and A. K. Kazi, "Real-time safety helmet detection using YOLOv5 at construction sites," Intelligent Automation &amp; Soft Computing, vol. 36, 2023.</w:t>
      </w:r>
    </w:p>
    <w:p w14:paraId="01985454"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[8] </w:t>
      </w:r>
      <w:r w:rsidRPr="00FA0740">
        <w:rPr>
          <w:rFonts w:ascii="Times New Roman" w:hAnsi="Times New Roman" w:cs="Times New Roman"/>
          <w:sz w:val="24"/>
          <w:szCs w:val="24"/>
        </w:rPr>
        <w:t>"Wearable sensing devices for construction safety" (review), Automation in Construction, ScienceDirect, 2025.</w:t>
      </w:r>
    </w:p>
    <w:p w14:paraId="4BE7BF28"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[9] </w:t>
      </w:r>
      <w:r w:rsidRPr="00FA0740">
        <w:rPr>
          <w:rFonts w:ascii="Times New Roman" w:hAnsi="Times New Roman" w:cs="Times New Roman"/>
          <w:sz w:val="24"/>
          <w:szCs w:val="24"/>
        </w:rPr>
        <w:t>G. Lee, S. Choi, and S. Lee, "Assessment of construction workers' perceived risk using physiological data from wearable sensors: A machine learning approach," Journal of Building Engineering, vol. 42, art. 102824, 2021.</w:t>
      </w:r>
    </w:p>
    <w:p w14:paraId="149D348E"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[10] </w:t>
      </w:r>
      <w:r w:rsidRPr="00FA0740">
        <w:rPr>
          <w:rFonts w:ascii="Times New Roman" w:hAnsi="Times New Roman" w:cs="Times New Roman"/>
          <w:sz w:val="24"/>
          <w:szCs w:val="24"/>
        </w:rPr>
        <w:t>A. Aryal and B. Becerik-Gerber, "Monitoring fatigue in construction workers using physiological measurements," Automation in Construction, vol. 82, pp. 154-165, 2017.</w:t>
      </w:r>
    </w:p>
    <w:p w14:paraId="6DF5F46A"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[11] </w:t>
      </w:r>
      <w:r w:rsidRPr="00FA0740">
        <w:rPr>
          <w:rFonts w:ascii="Times New Roman" w:hAnsi="Times New Roman" w:cs="Times New Roman"/>
          <w:sz w:val="24"/>
          <w:szCs w:val="24"/>
        </w:rPr>
        <w:t>"Enhancing construction worker safety in extreme heat: A machine learning approach utilizing wearable technology for predictive health analytics," arXiv:2604.19559, 2026.</w:t>
      </w:r>
    </w:p>
    <w:p w14:paraId="0FAE75A1"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[12] </w:t>
      </w:r>
      <w:r w:rsidRPr="00FA0740">
        <w:rPr>
          <w:rFonts w:ascii="Times New Roman" w:hAnsi="Times New Roman" w:cs="Times New Roman"/>
          <w:sz w:val="24"/>
          <w:szCs w:val="24"/>
        </w:rPr>
        <w:t>"Systematic literature review of wearable devices and data analytics for construction safety and health," Automation in Construction, ScienceDirect, 2024.</w:t>
      </w:r>
    </w:p>
    <w:p w14:paraId="32E3635A"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[13] </w:t>
      </w:r>
      <w:r w:rsidRPr="00FA0740">
        <w:rPr>
          <w:rFonts w:ascii="Times New Roman" w:hAnsi="Times New Roman" w:cs="Times New Roman"/>
          <w:sz w:val="24"/>
          <w:szCs w:val="24"/>
        </w:rPr>
        <w:t>K. Kim et al., "A vision-based collision monitoring system for proximity of construction workers to trucks enhanced by posture-dependent perception and truck bodies' occupied space," Sustainability, vol. 14, no. 13, art. 7934, 2022.</w:t>
      </w:r>
    </w:p>
    <w:p w14:paraId="58674092"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lastRenderedPageBreak/>
        <w:t xml:space="preserve">[14] </w:t>
      </w:r>
      <w:r w:rsidRPr="00FA0740">
        <w:rPr>
          <w:rFonts w:ascii="Times New Roman" w:hAnsi="Times New Roman" w:cs="Times New Roman"/>
          <w:sz w:val="24"/>
          <w:szCs w:val="24"/>
        </w:rPr>
        <w:t>H. Son, H. Sung, H. Choi, S. Lee, and C. Kim, "Real-time vision-based warning system for prevention of collisions between workers and heavy equipment," Journal of Computing in Civil Engineering, vol. 33, no. 5, 2019.</w:t>
      </w:r>
    </w:p>
    <w:p w14:paraId="0C2508D1"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[15] </w:t>
      </w:r>
      <w:r w:rsidRPr="00FA0740">
        <w:rPr>
          <w:rFonts w:ascii="Times New Roman" w:hAnsi="Times New Roman" w:cs="Times New Roman"/>
          <w:sz w:val="24"/>
          <w:szCs w:val="24"/>
        </w:rPr>
        <w:t>"Robust construction safety system (RCSS) for collision accidents prevention on construction sites," PMC, 2019.</w:t>
      </w:r>
    </w:p>
    <w:p w14:paraId="03D0035C"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[16] </w:t>
      </w:r>
      <w:r w:rsidRPr="00FA0740">
        <w:rPr>
          <w:rFonts w:ascii="Times New Roman" w:hAnsi="Times New Roman" w:cs="Times New Roman"/>
          <w:sz w:val="24"/>
          <w:szCs w:val="24"/>
        </w:rPr>
        <w:t>"The detection system for a danger state of a collision between construction equipment and workers using fixed CCTV on construction sites," PMC, 2023.</w:t>
      </w:r>
    </w:p>
    <w:p w14:paraId="5E1D9432"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[17] </w:t>
      </w:r>
      <w:r w:rsidRPr="00FA0740">
        <w:rPr>
          <w:rFonts w:ascii="Times New Roman" w:hAnsi="Times New Roman" w:cs="Times New Roman"/>
          <w:sz w:val="24"/>
          <w:szCs w:val="24"/>
        </w:rPr>
        <w:t>"Monocular 3D object detection for proximity prediction in human-machine interaction," arXiv:2305.17931, 2023.</w:t>
      </w:r>
    </w:p>
    <w:p w14:paraId="2FCB2FB6"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[18] </w:t>
      </w:r>
      <w:r w:rsidRPr="00FA0740">
        <w:rPr>
          <w:rFonts w:ascii="Times New Roman" w:hAnsi="Times New Roman" w:cs="Times New Roman"/>
          <w:sz w:val="24"/>
          <w:szCs w:val="24"/>
        </w:rPr>
        <w:t>R. Pujari, R. Suguna, M. S. Vinmathi, et al., "Integrating IoT and machine learning for enhanced construction safety management," International Journal of Intelligent Systems and Applications in Engineering, 2024.</w:t>
      </w:r>
    </w:p>
    <w:p w14:paraId="20F22206"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[19] </w:t>
      </w:r>
      <w:r w:rsidRPr="00FA0740">
        <w:rPr>
          <w:rFonts w:ascii="Times New Roman" w:hAnsi="Times New Roman" w:cs="Times New Roman"/>
          <w:sz w:val="24"/>
          <w:szCs w:val="24"/>
        </w:rPr>
        <w:t>"Machine learning applications for predicting safety incidents in construction industry," Scientific Reports, 2026.</w:t>
      </w:r>
    </w:p>
    <w:p w14:paraId="04100FE8"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[20] </w:t>
      </w:r>
      <w:r w:rsidRPr="00FA0740">
        <w:rPr>
          <w:rFonts w:ascii="Times New Roman" w:hAnsi="Times New Roman" w:cs="Times New Roman"/>
          <w:sz w:val="24"/>
          <w:szCs w:val="24"/>
        </w:rPr>
        <w:t>"Critical review on the application of machine learning in construction accident analysis and prevention," Journal of Construction Engineering and Management, vol. 152, no. 8, 2026.</w:t>
      </w:r>
    </w:p>
    <w:p w14:paraId="773EF4F2"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[21] </w:t>
      </w:r>
      <w:r w:rsidRPr="00FA0740">
        <w:rPr>
          <w:rFonts w:ascii="Times New Roman" w:hAnsi="Times New Roman" w:cs="Times New Roman"/>
          <w:sz w:val="24"/>
          <w:szCs w:val="24"/>
        </w:rPr>
        <w:t xml:space="preserve">"Deep learning-based safety early-warning model for deep foundation pit construction with extra-long weir construction method - a case study of the </w:t>
      </w:r>
      <w:proofErr w:type="spellStart"/>
      <w:r w:rsidRPr="00FA0740">
        <w:rPr>
          <w:rFonts w:ascii="Times New Roman" w:hAnsi="Times New Roman" w:cs="Times New Roman"/>
          <w:sz w:val="24"/>
          <w:szCs w:val="24"/>
        </w:rPr>
        <w:t>Jinji</w:t>
      </w:r>
      <w:proofErr w:type="spellEnd"/>
      <w:r w:rsidRPr="00FA0740">
        <w:rPr>
          <w:rFonts w:ascii="Times New Roman" w:hAnsi="Times New Roman" w:cs="Times New Roman"/>
          <w:sz w:val="24"/>
          <w:szCs w:val="24"/>
        </w:rPr>
        <w:t xml:space="preserve"> Lake tunnel," Buildings, vol. 15, no. 23, art. 4270, 2025.</w:t>
      </w:r>
    </w:p>
    <w:p w14:paraId="4547D48F" w14:textId="77777777" w:rsidR="000E0571" w:rsidRPr="00FA0740" w:rsidRDefault="00000000">
      <w:pPr>
        <w:spacing w:after="140" w:line="264" w:lineRule="auto"/>
        <w:ind w:left="504" w:hanging="504"/>
        <w:jc w:val="both"/>
        <w:rPr>
          <w:rFonts w:ascii="Times New Roman" w:hAnsi="Times New Roman" w:cs="Times New Roman"/>
          <w:sz w:val="24"/>
          <w:szCs w:val="24"/>
        </w:rPr>
      </w:pPr>
      <w:r w:rsidRPr="00FA0740">
        <w:rPr>
          <w:rFonts w:ascii="Times New Roman" w:hAnsi="Times New Roman" w:cs="Times New Roman"/>
          <w:b/>
          <w:bCs/>
          <w:sz w:val="24"/>
          <w:szCs w:val="24"/>
        </w:rPr>
        <w:t xml:space="preserve">[22] </w:t>
      </w:r>
      <w:r w:rsidRPr="00FA0740">
        <w:rPr>
          <w:rFonts w:ascii="Times New Roman" w:hAnsi="Times New Roman" w:cs="Times New Roman"/>
          <w:sz w:val="24"/>
          <w:szCs w:val="24"/>
        </w:rPr>
        <w:t>"Autonomous construction-site safety inspection using mobile robots: A multilayer VLM-LLM pipeline," arXiv:2512.13974, 2025.</w:t>
      </w:r>
    </w:p>
    <w:sectPr w:rsidR="000E0571" w:rsidRPr="00FA074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223DA"/>
    <w:multiLevelType w:val="hybridMultilevel"/>
    <w:tmpl w:val="4224CC36"/>
    <w:lvl w:ilvl="0" w:tplc="B81A5850">
      <w:start w:val="1"/>
      <w:numFmt w:val="bullet"/>
      <w:lvlText w:val="•"/>
      <w:lvlJc w:val="left"/>
      <w:pPr>
        <w:ind w:left="431" w:hanging="259"/>
      </w:pPr>
    </w:lvl>
    <w:lvl w:ilvl="1" w:tplc="72E429CE">
      <w:numFmt w:val="decimal"/>
      <w:lvlText w:val=""/>
      <w:lvlJc w:val="left"/>
    </w:lvl>
    <w:lvl w:ilvl="2" w:tplc="15FCB702">
      <w:numFmt w:val="decimal"/>
      <w:lvlText w:val=""/>
      <w:lvlJc w:val="left"/>
    </w:lvl>
    <w:lvl w:ilvl="3" w:tplc="7C88F21A">
      <w:numFmt w:val="decimal"/>
      <w:lvlText w:val=""/>
      <w:lvlJc w:val="left"/>
    </w:lvl>
    <w:lvl w:ilvl="4" w:tplc="71289280">
      <w:numFmt w:val="decimal"/>
      <w:lvlText w:val=""/>
      <w:lvlJc w:val="left"/>
    </w:lvl>
    <w:lvl w:ilvl="5" w:tplc="DCA41E02">
      <w:numFmt w:val="decimal"/>
      <w:lvlText w:val=""/>
      <w:lvlJc w:val="left"/>
    </w:lvl>
    <w:lvl w:ilvl="6" w:tplc="7BC490AE">
      <w:numFmt w:val="decimal"/>
      <w:lvlText w:val=""/>
      <w:lvlJc w:val="left"/>
    </w:lvl>
    <w:lvl w:ilvl="7" w:tplc="FF7E497C">
      <w:numFmt w:val="decimal"/>
      <w:lvlText w:val=""/>
      <w:lvlJc w:val="left"/>
    </w:lvl>
    <w:lvl w:ilvl="8" w:tplc="A574D606">
      <w:numFmt w:val="decimal"/>
      <w:lvlText w:val=""/>
      <w:lvlJc w:val="left"/>
    </w:lvl>
  </w:abstractNum>
  <w:abstractNum w:abstractNumId="1" w15:restartNumberingAfterBreak="0">
    <w:nsid w:val="6B1146A4"/>
    <w:multiLevelType w:val="hybridMultilevel"/>
    <w:tmpl w:val="CCB85704"/>
    <w:lvl w:ilvl="0" w:tplc="B4501946">
      <w:start w:val="1"/>
      <w:numFmt w:val="bullet"/>
      <w:lvlText w:val="●"/>
      <w:lvlJc w:val="left"/>
      <w:pPr>
        <w:ind w:left="720" w:hanging="360"/>
      </w:pPr>
    </w:lvl>
    <w:lvl w:ilvl="1" w:tplc="D70A3544">
      <w:start w:val="1"/>
      <w:numFmt w:val="bullet"/>
      <w:lvlText w:val="○"/>
      <w:lvlJc w:val="left"/>
      <w:pPr>
        <w:ind w:left="1440" w:hanging="360"/>
      </w:pPr>
    </w:lvl>
    <w:lvl w:ilvl="2" w:tplc="D23A81CE">
      <w:start w:val="1"/>
      <w:numFmt w:val="bullet"/>
      <w:lvlText w:val="■"/>
      <w:lvlJc w:val="left"/>
      <w:pPr>
        <w:ind w:left="2160" w:hanging="360"/>
      </w:pPr>
    </w:lvl>
    <w:lvl w:ilvl="3" w:tplc="235E59CC">
      <w:start w:val="1"/>
      <w:numFmt w:val="bullet"/>
      <w:lvlText w:val="●"/>
      <w:lvlJc w:val="left"/>
      <w:pPr>
        <w:ind w:left="2880" w:hanging="360"/>
      </w:pPr>
    </w:lvl>
    <w:lvl w:ilvl="4" w:tplc="6D442EAA">
      <w:start w:val="1"/>
      <w:numFmt w:val="bullet"/>
      <w:lvlText w:val="○"/>
      <w:lvlJc w:val="left"/>
      <w:pPr>
        <w:ind w:left="3600" w:hanging="360"/>
      </w:pPr>
    </w:lvl>
    <w:lvl w:ilvl="5" w:tplc="A20E6B74">
      <w:start w:val="1"/>
      <w:numFmt w:val="bullet"/>
      <w:lvlText w:val="■"/>
      <w:lvlJc w:val="left"/>
      <w:pPr>
        <w:ind w:left="4320" w:hanging="360"/>
      </w:pPr>
    </w:lvl>
    <w:lvl w:ilvl="6" w:tplc="A398AEE4">
      <w:start w:val="1"/>
      <w:numFmt w:val="bullet"/>
      <w:lvlText w:val="●"/>
      <w:lvlJc w:val="left"/>
      <w:pPr>
        <w:ind w:left="5040" w:hanging="360"/>
      </w:pPr>
    </w:lvl>
    <w:lvl w:ilvl="7" w:tplc="00CE4BD6">
      <w:start w:val="1"/>
      <w:numFmt w:val="bullet"/>
      <w:lvlText w:val="●"/>
      <w:lvlJc w:val="left"/>
      <w:pPr>
        <w:ind w:left="5760" w:hanging="360"/>
      </w:pPr>
    </w:lvl>
    <w:lvl w:ilvl="8" w:tplc="A88C6BA2">
      <w:start w:val="1"/>
      <w:numFmt w:val="bullet"/>
      <w:lvlText w:val="●"/>
      <w:lvlJc w:val="left"/>
      <w:pPr>
        <w:ind w:left="6480" w:hanging="360"/>
      </w:pPr>
    </w:lvl>
  </w:abstractNum>
  <w:num w:numId="1" w16cid:durableId="793403604">
    <w:abstractNumId w:val="1"/>
    <w:lvlOverride w:ilvl="0">
      <w:startOverride w:val="1"/>
    </w:lvlOverride>
  </w:num>
  <w:num w:numId="2" w16cid:durableId="206570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71"/>
    <w:rsid w:val="000E0571"/>
    <w:rsid w:val="00CD31BB"/>
    <w:rsid w:val="00FA0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2F05"/>
  <w15:docId w15:val="{BD118F83-4B35-44CF-AB90-EA34DA6A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5075</Words>
  <Characters>28931</Characters>
  <Application>Microsoft Office Word</Application>
  <DocSecurity>0</DocSecurity>
  <Lines>241</Lines>
  <Paragraphs>67</Paragraphs>
  <ScaleCrop>false</ScaleCrop>
  <Company/>
  <LinksUpToDate>false</LinksUpToDate>
  <CharactersWithSpaces>33939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2026-08-21T06:25:00Z</dcterms:created>
  <dcterms:modified xsi:type="dcterms:W3CDTF">2026-08-21T06:29:00Z</dcterms:modified>
</cp:coreProperties>
</file>