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ptos Display" w:hAnsi="Aptos Display"/>
          <w:b/>
          <w:color w:val="183153"/>
          <w:sz w:val="58"/>
        </w:rPr>
        <w:t>QUANTUMBIO DISCOVERY</w:t>
      </w:r>
    </w:p>
    <w:p>
      <w:pPr>
        <w:jc w:val="center"/>
      </w:pPr>
      <w:r>
        <w:rPr>
          <w:b/>
          <w:color w:val="D97706"/>
          <w:sz w:val="30"/>
        </w:rPr>
        <w:t>A Hybrid AI–Classical–Quantum Pipeline for Antibiotic Candidate Discovery</w:t>
      </w:r>
    </w:p>
    <w:p>
      <w:pPr>
        <w:spacing w:before="360"/>
        <w:jc w:val="center"/>
      </w:pPr>
      <w:r>
        <w:rPr>
          <w:i/>
          <w:sz w:val="20"/>
        </w:rPr>
        <w:t>Problem Statement • Proposed Solution • End-to-End Workflow • Live Demo • Evaluation Plan</w:t>
      </w:r>
    </w:p>
    <w:p/>
    <w:tbl>
      <w:tblPr>
        <w:tblW w:type="auto" w:w="0"/>
        <w:jc w:val="center"/>
        <w:tblLook w:firstColumn="1" w:firstRow="1" w:lastColumn="0" w:lastRow="0" w:noHBand="0" w:noVBand="1" w:val="04A0"/>
      </w:tblPr>
      <w:tblGrid>
        <w:gridCol w:w="9936"/>
      </w:tblGrid>
      <w:tr>
        <w:tc>
          <w:tcPr>
            <w:tcW w:type="dxa" w:w="9936"/>
            <w:shd w:fill="EEF3F8"/>
            <w:vAlign w:val="center"/>
          </w:tcPr>
          <w:p>
            <w:pPr>
              <w:spacing w:after="20"/>
            </w:pPr>
            <w:r/>
            <w:r>
              <w:rPr>
                <w:rFonts w:ascii="Aptos" w:hAnsi="Aptos"/>
                <w:b w:val="0"/>
                <w:sz w:val="22"/>
              </w:rPr>
              <w:t>Project goal: build an auditable computational research platform that generates, screens, and prioritizes potential antibiotic candidates against a selected antimicrobial-resistance protein, while rigorously testing where quantum chemistry may add useful information.</w:t>
            </w:r>
          </w:p>
        </w:tc>
      </w:tr>
    </w:tbl>
    <w:p>
      <w:r>
        <w:br w:type="page"/>
      </w:r>
    </w:p>
    <w:p>
      <w:pPr>
        <w:pStyle w:val="Heading1"/>
      </w:pPr>
      <w:r>
        <w:t>1. Executive Summary</w:t>
      </w:r>
    </w:p>
    <w:p>
      <w:r>
        <w:t>QuantumBio Discovery is a research-oriented drug-discovery workflow that connects molecular generation, classical cheminformatics, protein–ligand docking, machine-learning predictions, and a validated quantum-chemistry experiment in one platform. Instead of presenting disconnected AI and quantum-computing demonstrations, the system preserves each molecule’s identity and provenance from generation through screening and evaluation.</w:t>
      </w:r>
    </w:p>
    <w:p>
      <w:r>
        <w:t>The initial use case is computational prioritization of candidate molecules against a clinically relevant antimicrobial-resistance target. A beta-lactamase enzyme is a possible target class, but the exact protein must be selected based on data availability, structural quality, and a defensible benchmark.</w:t>
      </w:r>
    </w:p>
    <w:p>
      <w:r>
        <w:t>The central research question is not simply whether quantum computing can be included. It is whether a carefully defined quantum-chemistry calculation can be validated against a classical reference and whether a scientifically justified quantum-derived feature improves candidate prioritization beyond a classical-only baseline.</w:t>
      </w:r>
    </w:p>
    <w:p>
      <w:pPr>
        <w:pStyle w:val="Heading1"/>
      </w:pPr>
      <w:r>
        <w:t>2. Problem Statement</w:t>
      </w:r>
    </w:p>
    <w:p>
      <w:r>
        <w:t>Antimicrobial resistance makes the search for new antibacterial compounds increasingly important. Early-stage drug discovery is costly and time-consuming because researchers must explore large chemical spaces, identify molecules that may interact with a biological target, and decide which candidates deserve more expensive follow-up studies. Computational methods can narrow this search, but individual tools have limitations: generative models can propose invalid or unsuitable molecules; docking scores are approximate; machine-learning predictions depend on training data and may not generalize; and quantum-computing demonstrations can be scientifically disconnected from the actual binding problem.</w:t>
      </w:r>
    </w:p>
    <w:p>
      <w:r>
        <w:t>Problem to solve: How can we build a reproducible, end-to-end computational pipeline that proposes chemically valid molecules, screens them against a selected antimicrobial-resistance protein, and rigorously evaluates whether quantum-chemistry information adds measurable value to candidate prioritization—without overstating computational predictions as proven antibiotics?</w:t>
      </w:r>
    </w:p>
    <w:p>
      <w:pPr>
        <w:pStyle w:val="Heading1"/>
      </w:pPr>
      <w:r>
        <w:t>3. Proposed Solution</w:t>
      </w:r>
    </w:p>
    <w:p>
      <w:r>
        <w:t>Build QuantumBio Discovery as an integrated platform with five connected stages: (1) target and data preparation, (2) AI-assisted molecular generation and filtering, (3) classical docking and ML screening, (4) a small, chemically justified quantum-chemistry experiment, and (5) benchmark-driven evaluation and reporting.</w:t>
      </w:r>
    </w:p>
    <w:p>
      <w:pPr>
        <w:pStyle w:val="ListBullet"/>
        <w:spacing w:after="40"/>
      </w:pPr>
      <w:r>
        <w:t>One candidate registry: every molecule receives a stable ID, canonical SMILES, source, filtering outcomes, scores, model versions, and run status.</w:t>
      </w:r>
    </w:p>
    <w:p>
      <w:pPr>
        <w:pStyle w:val="ListBullet"/>
        <w:spacing w:after="40"/>
      </w:pPr>
      <w:r>
        <w:t>A classical baseline first: the system must work end to end using established cheminformatics, docking, and ML methods before any quantum-informed ranking is claimed.</w:t>
      </w:r>
    </w:p>
    <w:p>
      <w:pPr>
        <w:pStyle w:val="ListBullet"/>
        <w:spacing w:after="40"/>
      </w:pPr>
      <w:r>
        <w:t>A validated quantum module: VQE results are compared with exact diagonalization of the same Hamiltonian and suitable classical electronic-structure references.</w:t>
      </w:r>
    </w:p>
    <w:p>
      <w:pPr>
        <w:pStyle w:val="ListBullet"/>
        <w:spacing w:after="40"/>
      </w:pPr>
      <w:r>
        <w:t>Evidence-led conclusions: the platform reports whether the quantum-derived feature helps, does not help, worsens performance, or remains inconclusive.</w:t>
      </w:r>
    </w:p>
    <w:p>
      <w:pPr>
        <w:pStyle w:val="ListBullet"/>
        <w:spacing w:after="40"/>
      </w:pPr>
      <w:r>
        <w:t>A live research dashboard: judges can inspect the target, generate or load molecules, run screening, examine a quantum experiment, and view metrics and logs.</w:t>
      </w:r>
    </w:p>
    <w:p>
      <w:pPr>
        <w:pStyle w:val="ListBullet"/>
        <w:spacing w:after="40"/>
      </w:pPr>
      <w:r>
        <w:t>Honest scope: outputs are computationally prioritized hypotheses, not experimentally confirmed antibiotics or medical recommendations.</w:t>
      </w:r>
    </w:p>
    <w:p>
      <w:pPr>
        <w:pStyle w:val="Heading1"/>
      </w:pPr>
      <w:r>
        <w:t>4. End-to-End Workflow</w:t>
      </w:r>
    </w:p>
    <w:p>
      <w:pPr>
        <w:pStyle w:val="Heading2"/>
      </w:pPr>
      <w:r>
        <w:t>Stage 1 — Target Selection and Preparation</w:t>
      </w:r>
    </w:p>
    <w:p>
      <w:r>
        <w:t>Choose one resistance-associated protein with a suitable structure and reference data. Retrieve its structure from a trusted structural database; inspect the protein, any co-crystallized ligand, binding pocket, cofactors, and relevant waters. Document protonation, hydrogen addition, missing residues, docking region, and preparation decisions. Avoid blindly deleting waters or cofactors when they may matter.</w:t>
      </w:r>
    </w:p>
    <w:p>
      <w:pPr>
        <w:spacing w:after="120"/>
      </w:pPr>
      <w:r>
        <w:rPr>
          <w:b/>
          <w:color w:val="183153"/>
        </w:rPr>
        <w:t>Output: prepared target structure, target metadata, binding-site definition, preparation log, and references.</w:t>
      </w:r>
    </w:p>
    <w:p>
      <w:pPr>
        <w:pStyle w:val="Heading2"/>
      </w:pPr>
      <w:r>
        <w:t>Stage 2 — Molecular Data and Reference Set</w:t>
      </w:r>
    </w:p>
    <w:p>
      <w:r>
        <w:t>Collect a manageable set of known actives, inactives, or suitable decoys where available. Standardize structures, remove duplicates, track assay/source information, and define train/validation/test separation before evaluating ML or ranking performance. Prevent data leakage between splits.</w:t>
      </w:r>
    </w:p>
    <w:p>
      <w:pPr>
        <w:spacing w:after="120"/>
      </w:pPr>
      <w:r>
        <w:rPr>
          <w:b/>
          <w:color w:val="183153"/>
        </w:rPr>
        <w:t>Output: versioned dataset, data dictionary, source provenance, split strategy, and baseline reference compounds.</w:t>
      </w:r>
    </w:p>
    <w:p>
      <w:pPr>
        <w:pStyle w:val="Heading2"/>
      </w:pPr>
      <w:r>
        <w:t>Stage 3 — AI-Assisted Molecular Generation</w:t>
      </w:r>
    </w:p>
    <w:p>
      <w:r>
        <w:t>Use a pretrained molecular generator or a clearly identified public dataset/model to propose candidate structures in SMILES format. Validate and canonicalize molecules with RDKit, deduplicate them, calculate descriptors, and apply transparent chemistry filters. Record rejection reasons rather than silently discarding candidates. Keep the generator and model version explicit.</w:t>
      </w:r>
    </w:p>
    <w:p>
      <w:pPr>
        <w:spacing w:after="120"/>
      </w:pPr>
      <w:r>
        <w:rPr>
          <w:b/>
          <w:color w:val="183153"/>
        </w:rPr>
        <w:t>Output: candidate library with stable IDs, valid structures, descriptors, provenance, and filter decisions.</w:t>
      </w:r>
    </w:p>
    <w:p>
      <w:pPr>
        <w:pStyle w:val="Heading2"/>
      </w:pPr>
      <w:r>
        <w:t>Stage 4 — Classical Screening: Docking and ML</w:t>
      </w:r>
    </w:p>
    <w:p>
      <w:r>
        <w:t>Run protein–ligand docking, for example with AutoDock Vina, using documented preparation and search parameters. If an ML predictor is used, train or select it using relevant data and report its validation. Combine evidence carefully; do not treat docking score as experimental binding affinity. Inspect poses and retain failed runs and uncertainty information.</w:t>
      </w:r>
    </w:p>
    <w:p>
      <w:pPr>
        <w:spacing w:after="120"/>
      </w:pPr>
      <w:r>
        <w:rPr>
          <w:b/>
          <w:color w:val="183153"/>
        </w:rPr>
        <w:t>Output: ranked shortlist, docking scores and poses, ML predictions, parameter/configuration records, runtime, and failure statuses.</w:t>
      </w:r>
    </w:p>
    <w:p>
      <w:pPr>
        <w:pStyle w:val="Heading2"/>
      </w:pPr>
      <w:r>
        <w:t>Stage 5 — Quantum-Chemistry Model Definition</w:t>
      </w:r>
    </w:p>
    <w:p>
      <w:r>
        <w:t>Choose a chemically meaningful small molecule, fragment, or electronic-structure model linked to the study. Define the basis set, active space, mapped Hamiltonian, and qubit count with a chemistry rationale. Keep the system small enough to run reliably on a simulator or available hardware. A ligand-only calculation must not be interpreted as a direct protein-binding score.</w:t>
      </w:r>
    </w:p>
    <w:p>
      <w:pPr>
        <w:spacing w:after="120"/>
      </w:pPr>
      <w:r>
        <w:rPr>
          <w:b/>
          <w:color w:val="183153"/>
        </w:rPr>
        <w:t>Output: documented molecular model, Hamiltonian, mapping choices, qubit count, and assumptions.</w:t>
      </w:r>
    </w:p>
    <w:p>
      <w:pPr>
        <w:pStyle w:val="Heading2"/>
      </w:pPr>
      <w:r>
        <w:t>Stage 6 — VQE Execution and Validation</w:t>
      </w:r>
    </w:p>
    <w:p>
      <w:r>
        <w:t>Run the Variational Quantum Eigensolver (VQE) using Qiskit Nature and a suitable chemistry backend such as PySCF, with a simulator first and hardware only if available. Compare VQE energy with exact diagonalization of the same Hamiltonian and an appropriate classical reference. Track convergence, energy error, circuit depth, optimizer settings, shots, noise assumptions, and runtime.</w:t>
      </w:r>
    </w:p>
    <w:p>
      <w:pPr>
        <w:spacing w:after="120"/>
      </w:pPr>
      <w:r>
        <w:rPr>
          <w:b/>
          <w:color w:val="183153"/>
        </w:rPr>
        <w:t>Output: energy/convergence plots, reference comparisons, circuit and runtime metadata, and a clear validation status.</w:t>
      </w:r>
    </w:p>
    <w:p>
      <w:pPr>
        <w:pStyle w:val="Heading2"/>
      </w:pPr>
      <w:r>
        <w:t>Stage 7 — Quantum-Informed Feature Test</w:t>
      </w:r>
    </w:p>
    <w:p>
      <w:r>
        <w:t>Only if scientifically justified, derive a quantum-informed feature that has a defensible relationship to candidate prioritization. Define the feature and the comparison before examining outcomes. Compare a classical-only baseline against the quantum-informed approach on held-out data using appropriate ranking metrics and uncertainty estimates. Do not arbitrarily add a VQE ground-state energy to a docking score.</w:t>
      </w:r>
    </w:p>
    <w:p>
      <w:pPr>
        <w:spacing w:after="120"/>
      </w:pPr>
      <w:r>
        <w:rPr>
          <w:b/>
          <w:color w:val="183153"/>
        </w:rPr>
        <w:t>Output: reproducible baseline-versus-quantum-informed comparison, metrics, ablations, uncertainty, and conclusion—even if the result is negative or inconclusive.</w:t>
      </w:r>
    </w:p>
    <w:p>
      <w:pPr>
        <w:pStyle w:val="Heading2"/>
      </w:pPr>
      <w:r>
        <w:t>Stage 8 — Evaluation, Reporting, and Reproducibility</w:t>
      </w:r>
    </w:p>
    <w:p>
      <w:r>
        <w:t>Generate a report from the actual run: target and dataset provenance, candidate counts, filter rejection reasons, screening settings, top-ranked candidates, quantum validation results, benchmark metrics, runtimes, limitations, and next steps. Preserve run IDs, timestamps, logs, and software/model versions. Allow recovery from a failed stage without losing earlier results.</w:t>
      </w:r>
    </w:p>
    <w:p>
      <w:pPr>
        <w:spacing w:after="120"/>
      </w:pPr>
      <w:r>
        <w:rPr>
          <w:b/>
          <w:color w:val="183153"/>
        </w:rPr>
        <w:t>Output: downloadable report, reproducible run record, evidence-backed findings, and transparent limitations.</w:t>
      </w:r>
    </w:p>
    <w:p>
      <w:pPr>
        <w:pStyle w:val="Heading1"/>
      </w:pPr>
      <w:r>
        <w:t>5. Live Demo: What Judges Should See</w:t>
      </w:r>
    </w:p>
    <w:tbl>
      <w:tblPr>
        <w:tblStyle w:val="TableGrid"/>
        <w:tblW w:type="auto" w:w="0"/>
        <w:jc w:val="center"/>
        <w:tblLook w:firstColumn="1" w:firstRow="1" w:lastColumn="0" w:lastRow="0" w:noHBand="0" w:noVBand="1" w:val="04A0"/>
      </w:tblPr>
      <w:tblGrid>
        <w:gridCol w:w="4968"/>
        <w:gridCol w:w="4968"/>
      </w:tblGrid>
      <w:tr>
        <w:tc>
          <w:tcPr>
            <w:tcW w:type="dxa" w:w="4968"/>
            <w:shd w:fill="183153"/>
            <w:vAlign w:val="center"/>
          </w:tcPr>
          <w:p>
            <w:pPr>
              <w:spacing w:after="20"/>
            </w:pPr>
            <w:r/>
            <w:r>
              <w:rPr>
                <w:rFonts w:ascii="Aptos" w:hAnsi="Aptos"/>
                <w:b/>
                <w:color w:val="FFFFFF"/>
                <w:sz w:val="18"/>
              </w:rPr>
              <w:t>Demo area</w:t>
            </w:r>
          </w:p>
        </w:tc>
        <w:tc>
          <w:tcPr>
            <w:tcW w:type="dxa" w:w="4968"/>
            <w:shd w:fill="183153"/>
            <w:vAlign w:val="center"/>
          </w:tcPr>
          <w:p>
            <w:pPr>
              <w:spacing w:after="20"/>
            </w:pPr>
            <w:r/>
            <w:r>
              <w:rPr>
                <w:rFonts w:ascii="Aptos" w:hAnsi="Aptos"/>
                <w:b/>
                <w:color w:val="FFFFFF"/>
                <w:sz w:val="18"/>
              </w:rPr>
              <w:t>Judge-facing demonstration</w:t>
            </w:r>
          </w:p>
        </w:tc>
      </w:tr>
      <w:tr>
        <w:tc>
          <w:tcPr>
            <w:tcW w:type="dxa" w:w="4968"/>
            <w:vAlign w:val="center"/>
          </w:tcPr>
          <w:p>
            <w:pPr>
              <w:spacing w:after="20"/>
            </w:pPr>
            <w:r/>
            <w:r>
              <w:rPr>
                <w:rFonts w:ascii="Aptos" w:hAnsi="Aptos"/>
                <w:b/>
                <w:color w:val="183153"/>
                <w:sz w:val="18"/>
              </w:rPr>
              <w:t>Target Lab</w:t>
            </w:r>
          </w:p>
        </w:tc>
        <w:tc>
          <w:tcPr>
            <w:tcW w:type="dxa" w:w="4968"/>
            <w:vAlign w:val="center"/>
          </w:tcPr>
          <w:p>
            <w:pPr>
              <w:spacing w:after="20"/>
            </w:pPr>
            <w:r/>
            <w:r>
              <w:rPr>
                <w:rFonts w:ascii="Aptos" w:hAnsi="Aptos"/>
                <w:b w:val="0"/>
                <w:sz w:val="18"/>
              </w:rPr>
              <w:t>Select the target; show its structure, binding pocket, preparation choices, and run log.</w:t>
            </w:r>
          </w:p>
        </w:tc>
      </w:tr>
      <w:tr>
        <w:tc>
          <w:tcPr>
            <w:tcW w:type="dxa" w:w="4968"/>
            <w:vAlign w:val="center"/>
          </w:tcPr>
          <w:p>
            <w:pPr>
              <w:spacing w:after="20"/>
            </w:pPr>
            <w:r/>
            <w:r>
              <w:rPr>
                <w:rFonts w:ascii="Aptos" w:hAnsi="Aptos"/>
                <w:b/>
                <w:color w:val="183153"/>
                <w:sz w:val="18"/>
              </w:rPr>
              <w:t>Generative Lab</w:t>
            </w:r>
          </w:p>
        </w:tc>
        <w:tc>
          <w:tcPr>
            <w:tcW w:type="dxa" w:w="4968"/>
            <w:vAlign w:val="center"/>
          </w:tcPr>
          <w:p>
            <w:pPr>
              <w:spacing w:after="20"/>
            </w:pPr>
            <w:r/>
            <w:r>
              <w:rPr>
                <w:rFonts w:ascii="Aptos" w:hAnsi="Aptos"/>
                <w:b w:val="0"/>
                <w:sz w:val="18"/>
              </w:rPr>
              <w:t>Generate or load molecules; show structures/SMILES, RDKit validity, duplicates, descriptors, and filter rejection reasons.</w:t>
            </w:r>
          </w:p>
        </w:tc>
      </w:tr>
      <w:tr>
        <w:tc>
          <w:tcPr>
            <w:tcW w:type="dxa" w:w="4968"/>
            <w:vAlign w:val="center"/>
          </w:tcPr>
          <w:p>
            <w:pPr>
              <w:spacing w:after="20"/>
            </w:pPr>
            <w:r/>
            <w:r>
              <w:rPr>
                <w:rFonts w:ascii="Aptos" w:hAnsi="Aptos"/>
                <w:b/>
                <w:color w:val="183153"/>
                <w:sz w:val="18"/>
              </w:rPr>
              <w:t>Screening Lab</w:t>
            </w:r>
          </w:p>
        </w:tc>
        <w:tc>
          <w:tcPr>
            <w:tcW w:type="dxa" w:w="4968"/>
            <w:vAlign w:val="center"/>
          </w:tcPr>
          <w:p>
            <w:pPr>
              <w:spacing w:after="20"/>
            </w:pPr>
            <w:r/>
            <w:r>
              <w:rPr>
                <w:rFonts w:ascii="Aptos" w:hAnsi="Aptos"/>
                <w:b w:val="0"/>
                <w:sz w:val="18"/>
              </w:rPr>
              <w:t>Run docking on the candidate set; show scores, poses, ML outputs where supported, and the ranked shortlist.</w:t>
            </w:r>
          </w:p>
        </w:tc>
      </w:tr>
      <w:tr>
        <w:tc>
          <w:tcPr>
            <w:tcW w:type="dxa" w:w="4968"/>
            <w:vAlign w:val="center"/>
          </w:tcPr>
          <w:p>
            <w:pPr>
              <w:spacing w:after="20"/>
            </w:pPr>
            <w:r/>
            <w:r>
              <w:rPr>
                <w:rFonts w:ascii="Aptos" w:hAnsi="Aptos"/>
                <w:b/>
                <w:color w:val="183153"/>
                <w:sz w:val="18"/>
              </w:rPr>
              <w:t>Quantum Lab</w:t>
            </w:r>
          </w:p>
        </w:tc>
        <w:tc>
          <w:tcPr>
            <w:tcW w:type="dxa" w:w="4968"/>
            <w:vAlign w:val="center"/>
          </w:tcPr>
          <w:p>
            <w:pPr>
              <w:spacing w:after="20"/>
            </w:pPr>
            <w:r/>
            <w:r>
              <w:rPr>
                <w:rFonts w:ascii="Aptos" w:hAnsi="Aptos"/>
                <w:b w:val="0"/>
                <w:sz w:val="18"/>
              </w:rPr>
              <w:t>Select the defined molecule/fragment; show Hamiltonian setup, VQE convergence, qubit count, circuit details, and comparison with the exact reference. Label simulator and hardware results distinctly.</w:t>
            </w:r>
          </w:p>
        </w:tc>
      </w:tr>
      <w:tr>
        <w:tc>
          <w:tcPr>
            <w:tcW w:type="dxa" w:w="4968"/>
            <w:vAlign w:val="center"/>
          </w:tcPr>
          <w:p>
            <w:pPr>
              <w:spacing w:after="20"/>
            </w:pPr>
            <w:r/>
            <w:r>
              <w:rPr>
                <w:rFonts w:ascii="Aptos" w:hAnsi="Aptos"/>
                <w:b/>
                <w:color w:val="183153"/>
                <w:sz w:val="18"/>
              </w:rPr>
              <w:t>Evaluation Lab</w:t>
            </w:r>
          </w:p>
        </w:tc>
        <w:tc>
          <w:tcPr>
            <w:tcW w:type="dxa" w:w="4968"/>
            <w:vAlign w:val="center"/>
          </w:tcPr>
          <w:p>
            <w:pPr>
              <w:spacing w:after="20"/>
            </w:pPr>
            <w:r/>
            <w:r>
              <w:rPr>
                <w:rFonts w:ascii="Aptos" w:hAnsi="Aptos"/>
                <w:b w:val="0"/>
                <w:sz w:val="18"/>
              </w:rPr>
              <w:t>Compare classical-only and quantum-informed approaches only where the latter is scientifically valid. Display metrics, uncertainty, runtime, and a clear “helps / no improvement / worse / inconclusive” result.</w:t>
            </w:r>
          </w:p>
        </w:tc>
      </w:tr>
      <w:tr>
        <w:tc>
          <w:tcPr>
            <w:tcW w:type="dxa" w:w="4968"/>
            <w:vAlign w:val="center"/>
          </w:tcPr>
          <w:p>
            <w:pPr>
              <w:spacing w:after="20"/>
            </w:pPr>
            <w:r/>
            <w:r>
              <w:rPr>
                <w:rFonts w:ascii="Aptos" w:hAnsi="Aptos"/>
                <w:b/>
                <w:color w:val="183153"/>
                <w:sz w:val="18"/>
              </w:rPr>
              <w:t>Report and Provenance</w:t>
            </w:r>
          </w:p>
        </w:tc>
        <w:tc>
          <w:tcPr>
            <w:tcW w:type="dxa" w:w="4968"/>
            <w:vAlign w:val="center"/>
          </w:tcPr>
          <w:p>
            <w:pPr>
              <w:spacing w:after="20"/>
            </w:pPr>
            <w:r/>
            <w:r>
              <w:rPr>
                <w:rFonts w:ascii="Aptos" w:hAnsi="Aptos"/>
                <w:b w:val="0"/>
                <w:sz w:val="18"/>
              </w:rPr>
              <w:t>Open a report generated from the current run and show candidate IDs, stage status, timestamps, software versions, and logs.</w:t>
            </w:r>
          </w:p>
        </w:tc>
      </w:tr>
    </w:tbl>
    <w:p>
      <w:pPr>
        <w:pStyle w:val="Heading1"/>
      </w:pPr>
      <w:r>
        <w:t>6. Evaluation Plan and Success Criteria</w:t>
      </w:r>
    </w:p>
    <w:p>
      <w:pPr>
        <w:pStyle w:val="ListBullet"/>
        <w:spacing w:after="40"/>
      </w:pPr>
      <w:r>
        <w:t>Chemical validity: percentage of generated candidates that parse and standardize successfully; number of unique molecules after deduplication.</w:t>
      </w:r>
    </w:p>
    <w:p>
      <w:pPr>
        <w:pStyle w:val="ListBullet"/>
        <w:spacing w:after="40"/>
      </w:pPr>
      <w:r>
        <w:t>Pipeline reliability: each stage records success/failure, runtime, configuration, and logs; a failed stage does not corrupt prior results.</w:t>
      </w:r>
    </w:p>
    <w:p>
      <w:pPr>
        <w:pStyle w:val="ListBullet"/>
        <w:spacing w:after="40"/>
      </w:pPr>
      <w:r>
        <w:t>Docking sanity checks: redocking or reference-compound checks when appropriate, inspection of poses, and comparison with known data where available.</w:t>
      </w:r>
    </w:p>
    <w:p>
      <w:pPr>
        <w:pStyle w:val="ListBullet"/>
        <w:spacing w:after="40"/>
      </w:pPr>
      <w:r>
        <w:t>ML quality: appropriate held-out evaluation, leakage prevention, and metrics matched to the task; avoid reporting training performance as evidence of generalization.</w:t>
      </w:r>
    </w:p>
    <w:p>
      <w:pPr>
        <w:pStyle w:val="ListBullet"/>
        <w:spacing w:after="40"/>
      </w:pPr>
      <w:r>
        <w:t>Quantum correctness: VQE energy error versus exact diagonalization of the same Hamiltonian; convergence, circuit depth, shot/noise settings, and classical-reference comparison.</w:t>
      </w:r>
    </w:p>
    <w:p>
      <w:pPr>
        <w:pStyle w:val="ListBullet"/>
        <w:spacing w:after="40"/>
      </w:pPr>
      <w:r>
        <w:t>Added-value test: compare classical-only and quantum-informed ranking on held-out data only if a defensible feature can be constructed. Report ranking metrics such as enrichment or ROC-AUC/PR-AUC when their assumptions fit the dataset.</w:t>
      </w:r>
    </w:p>
    <w:p>
      <w:pPr>
        <w:pStyle w:val="ListBullet"/>
        <w:spacing w:after="40"/>
      </w:pPr>
      <w:r>
        <w:t>Reproducibility: preserve random seeds where applicable, dataset/model versions, software versions, target preparation settings, and run IDs.</w:t>
      </w:r>
    </w:p>
    <w:p>
      <w:pPr>
        <w:pStyle w:val="ListBullet"/>
        <w:spacing w:after="40"/>
      </w:pPr>
      <w:r>
        <w:t>Scientific integrity: report null, negative, failed, and inconclusive results; do not imply experimental efficacy from computational scores.</w:t>
      </w:r>
    </w:p>
    <w:p>
      <w:pPr>
        <w:pStyle w:val="Heading1"/>
      </w:pPr>
      <w:r>
        <w:t>7. Suggested Technology Stack</w:t>
      </w:r>
    </w:p>
    <w:tbl>
      <w:tblPr>
        <w:tblStyle w:val="TableGrid"/>
        <w:tblW w:type="auto" w:w="0"/>
        <w:tblLook w:firstColumn="1" w:firstRow="1" w:lastColumn="0" w:lastRow="0" w:noHBand="0" w:noVBand="1" w:val="04A0"/>
      </w:tblPr>
      <w:tblGrid>
        <w:gridCol w:w="4968"/>
        <w:gridCol w:w="4968"/>
      </w:tblGrid>
      <w:tr>
        <w:tc>
          <w:tcPr>
            <w:tcW w:type="dxa" w:w="4968"/>
            <w:shd w:fill="183153"/>
            <w:vAlign w:val="center"/>
          </w:tcPr>
          <w:p>
            <w:pPr>
              <w:spacing w:after="20"/>
            </w:pPr>
            <w:r/>
            <w:r>
              <w:rPr>
                <w:rFonts w:ascii="Aptos" w:hAnsi="Aptos"/>
                <w:b/>
                <w:color w:val="FFFFFF"/>
                <w:sz w:val="18"/>
              </w:rPr>
              <w:t>Component</w:t>
            </w:r>
          </w:p>
        </w:tc>
        <w:tc>
          <w:tcPr>
            <w:tcW w:type="dxa" w:w="4968"/>
            <w:shd w:fill="183153"/>
            <w:vAlign w:val="center"/>
          </w:tcPr>
          <w:p>
            <w:pPr>
              <w:spacing w:after="20"/>
            </w:pPr>
            <w:r/>
            <w:r>
              <w:rPr>
                <w:rFonts w:ascii="Aptos" w:hAnsi="Aptos"/>
                <w:b/>
                <w:color w:val="FFFFFF"/>
                <w:sz w:val="18"/>
              </w:rPr>
              <w:t>Suggested tools</w:t>
            </w:r>
          </w:p>
        </w:tc>
      </w:tr>
      <w:tr>
        <w:tc>
          <w:tcPr>
            <w:tcW w:type="dxa" w:w="4968"/>
            <w:vAlign w:val="center"/>
          </w:tcPr>
          <w:p>
            <w:pPr>
              <w:spacing w:after="20"/>
            </w:pPr>
            <w:r/>
            <w:r>
              <w:rPr>
                <w:rFonts w:ascii="Aptos" w:hAnsi="Aptos"/>
                <w:b/>
                <w:sz w:val="18"/>
              </w:rPr>
              <w:t>Core language</w:t>
            </w:r>
          </w:p>
        </w:tc>
        <w:tc>
          <w:tcPr>
            <w:tcW w:type="dxa" w:w="4968"/>
            <w:vAlign w:val="center"/>
          </w:tcPr>
          <w:p>
            <w:pPr>
              <w:spacing w:after="20"/>
            </w:pPr>
            <w:r/>
            <w:r>
              <w:rPr>
                <w:rFonts w:ascii="Aptos" w:hAnsi="Aptos"/>
                <w:b w:val="0"/>
                <w:sz w:val="18"/>
              </w:rPr>
              <w:t>Python</w:t>
            </w:r>
          </w:p>
        </w:tc>
      </w:tr>
      <w:tr>
        <w:tc>
          <w:tcPr>
            <w:tcW w:type="dxa" w:w="4968"/>
            <w:vAlign w:val="center"/>
          </w:tcPr>
          <w:p>
            <w:pPr>
              <w:spacing w:after="20"/>
            </w:pPr>
            <w:r/>
            <w:r>
              <w:rPr>
                <w:rFonts w:ascii="Aptos" w:hAnsi="Aptos"/>
                <w:b/>
                <w:sz w:val="18"/>
              </w:rPr>
              <w:t>Molecular structures and filters</w:t>
            </w:r>
          </w:p>
        </w:tc>
        <w:tc>
          <w:tcPr>
            <w:tcW w:type="dxa" w:w="4968"/>
            <w:vAlign w:val="center"/>
          </w:tcPr>
          <w:p>
            <w:pPr>
              <w:spacing w:after="20"/>
            </w:pPr>
            <w:r/>
            <w:r>
              <w:rPr>
                <w:rFonts w:ascii="Aptos" w:hAnsi="Aptos"/>
                <w:b w:val="0"/>
                <w:sz w:val="18"/>
              </w:rPr>
              <w:t>RDKit</w:t>
            </w:r>
          </w:p>
        </w:tc>
      </w:tr>
      <w:tr>
        <w:tc>
          <w:tcPr>
            <w:tcW w:type="dxa" w:w="4968"/>
            <w:vAlign w:val="center"/>
          </w:tcPr>
          <w:p>
            <w:pPr>
              <w:spacing w:after="20"/>
            </w:pPr>
            <w:r/>
            <w:r>
              <w:rPr>
                <w:rFonts w:ascii="Aptos" w:hAnsi="Aptos"/>
                <w:b/>
                <w:sz w:val="18"/>
              </w:rPr>
              <w:t>Protein–ligand docking</w:t>
            </w:r>
          </w:p>
        </w:tc>
        <w:tc>
          <w:tcPr>
            <w:tcW w:type="dxa" w:w="4968"/>
            <w:vAlign w:val="center"/>
          </w:tcPr>
          <w:p>
            <w:pPr>
              <w:spacing w:after="20"/>
            </w:pPr>
            <w:r/>
            <w:r>
              <w:rPr>
                <w:rFonts w:ascii="Aptos" w:hAnsi="Aptos"/>
                <w:b w:val="0"/>
                <w:sz w:val="18"/>
              </w:rPr>
              <w:t>AutoDock Vina</w:t>
            </w:r>
          </w:p>
        </w:tc>
      </w:tr>
      <w:tr>
        <w:tc>
          <w:tcPr>
            <w:tcW w:type="dxa" w:w="4968"/>
            <w:vAlign w:val="center"/>
          </w:tcPr>
          <w:p>
            <w:pPr>
              <w:spacing w:after="20"/>
            </w:pPr>
            <w:r/>
            <w:r>
              <w:rPr>
                <w:rFonts w:ascii="Aptos" w:hAnsi="Aptos"/>
                <w:b/>
                <w:sz w:val="18"/>
              </w:rPr>
              <w:t>ML</w:t>
            </w:r>
          </w:p>
        </w:tc>
        <w:tc>
          <w:tcPr>
            <w:tcW w:type="dxa" w:w="4968"/>
            <w:vAlign w:val="center"/>
          </w:tcPr>
          <w:p>
            <w:pPr>
              <w:spacing w:after="20"/>
            </w:pPr>
            <w:r/>
            <w:r>
              <w:rPr>
                <w:rFonts w:ascii="Aptos" w:hAnsi="Aptos"/>
                <w:b w:val="0"/>
                <w:sz w:val="18"/>
              </w:rPr>
              <w:t>scikit-learn or PyTorch; use graph neural networks only if justified by data and time</w:t>
            </w:r>
          </w:p>
        </w:tc>
      </w:tr>
      <w:tr>
        <w:tc>
          <w:tcPr>
            <w:tcW w:type="dxa" w:w="4968"/>
            <w:vAlign w:val="center"/>
          </w:tcPr>
          <w:p>
            <w:pPr>
              <w:spacing w:after="20"/>
            </w:pPr>
            <w:r/>
            <w:r>
              <w:rPr>
                <w:rFonts w:ascii="Aptos" w:hAnsi="Aptos"/>
                <w:b/>
                <w:sz w:val="18"/>
              </w:rPr>
              <w:t>Quantum chemistry</w:t>
            </w:r>
          </w:p>
        </w:tc>
        <w:tc>
          <w:tcPr>
            <w:tcW w:type="dxa" w:w="4968"/>
            <w:vAlign w:val="center"/>
          </w:tcPr>
          <w:p>
            <w:pPr>
              <w:spacing w:after="20"/>
            </w:pPr>
            <w:r/>
            <w:r>
              <w:rPr>
                <w:rFonts w:ascii="Aptos" w:hAnsi="Aptos"/>
                <w:b w:val="0"/>
                <w:sz w:val="18"/>
              </w:rPr>
              <w:t>PySCF, Qiskit Nature, Qiskit Aer; optional IBM Quantum hardware</w:t>
            </w:r>
          </w:p>
        </w:tc>
      </w:tr>
      <w:tr>
        <w:tc>
          <w:tcPr>
            <w:tcW w:type="dxa" w:w="4968"/>
            <w:vAlign w:val="center"/>
          </w:tcPr>
          <w:p>
            <w:pPr>
              <w:spacing w:after="20"/>
            </w:pPr>
            <w:r/>
            <w:r>
              <w:rPr>
                <w:rFonts w:ascii="Aptos" w:hAnsi="Aptos"/>
                <w:b/>
                <w:sz w:val="18"/>
              </w:rPr>
              <w:t>3D structure viewer</w:t>
            </w:r>
          </w:p>
        </w:tc>
        <w:tc>
          <w:tcPr>
            <w:tcW w:type="dxa" w:w="4968"/>
            <w:vAlign w:val="center"/>
          </w:tcPr>
          <w:p>
            <w:pPr>
              <w:spacing w:after="20"/>
            </w:pPr>
            <w:r/>
            <w:r>
              <w:rPr>
                <w:rFonts w:ascii="Aptos" w:hAnsi="Aptos"/>
                <w:b w:val="0"/>
                <w:sz w:val="18"/>
              </w:rPr>
              <w:t>py3Dmol or an equivalent web-compatible molecular viewer</w:t>
            </w:r>
          </w:p>
        </w:tc>
      </w:tr>
      <w:tr>
        <w:tc>
          <w:tcPr>
            <w:tcW w:type="dxa" w:w="4968"/>
            <w:vAlign w:val="center"/>
          </w:tcPr>
          <w:p>
            <w:pPr>
              <w:spacing w:after="20"/>
            </w:pPr>
            <w:r/>
            <w:r>
              <w:rPr>
                <w:rFonts w:ascii="Aptos" w:hAnsi="Aptos"/>
                <w:b/>
                <w:sz w:val="18"/>
              </w:rPr>
              <w:t>Dashboard</w:t>
            </w:r>
          </w:p>
        </w:tc>
        <w:tc>
          <w:tcPr>
            <w:tcW w:type="dxa" w:w="4968"/>
            <w:vAlign w:val="center"/>
          </w:tcPr>
          <w:p>
            <w:pPr>
              <w:spacing w:after="20"/>
            </w:pPr>
            <w:r/>
            <w:r>
              <w:rPr>
                <w:rFonts w:ascii="Aptos" w:hAnsi="Aptos"/>
                <w:b w:val="0"/>
                <w:sz w:val="18"/>
              </w:rPr>
              <w:t>Streamlit for a fast research prototype</w:t>
            </w:r>
          </w:p>
        </w:tc>
      </w:tr>
      <w:tr>
        <w:tc>
          <w:tcPr>
            <w:tcW w:type="dxa" w:w="4968"/>
            <w:vAlign w:val="center"/>
          </w:tcPr>
          <w:p>
            <w:pPr>
              <w:spacing w:after="20"/>
            </w:pPr>
            <w:r/>
            <w:r>
              <w:rPr>
                <w:rFonts w:ascii="Aptos" w:hAnsi="Aptos"/>
                <w:b/>
                <w:sz w:val="18"/>
              </w:rPr>
              <w:t>Testing and configuration</w:t>
            </w:r>
          </w:p>
        </w:tc>
        <w:tc>
          <w:tcPr>
            <w:tcW w:type="dxa" w:w="4968"/>
            <w:vAlign w:val="center"/>
          </w:tcPr>
          <w:p>
            <w:pPr>
              <w:spacing w:after="20"/>
            </w:pPr>
            <w:r/>
            <w:r>
              <w:rPr>
                <w:rFonts w:ascii="Aptos" w:hAnsi="Aptos"/>
                <w:b w:val="0"/>
                <w:sz w:val="18"/>
              </w:rPr>
              <w:t>pytest, YAML/JSON configuration files, structured logs</w:t>
            </w:r>
          </w:p>
        </w:tc>
      </w:tr>
    </w:tbl>
    <w:p>
      <w:pPr>
        <w:pStyle w:val="Heading1"/>
      </w:pPr>
      <w:r>
        <w:t>8. Suggested Repository Structure</w:t>
      </w:r>
    </w:p>
    <w:p>
      <w:r>
        <w:rPr>
          <w:rFonts w:ascii="Consolas" w:hAnsi="Consolas"/>
          <w:sz w:val="17"/>
        </w:rPr>
        <w:t>quantumbio-discovery/</w:t>
        <w:br/>
        <w:t>├── data/</w:t>
        <w:br/>
        <w:t>│   ├── raw/</w:t>
        <w:br/>
        <w:t>│   ├── processed/</w:t>
        <w:br/>
        <w:t>│   └── benchmark/</w:t>
        <w:br/>
        <w:t>├── src/</w:t>
        <w:br/>
        <w:t>│   ├── chemistry/</w:t>
        <w:br/>
        <w:t>│   │   ├── prepare_protein.py</w:t>
        <w:br/>
        <w:t>│   │   ├── prepare_ligands.py</w:t>
        <w:br/>
        <w:t>│   │   └── docking.py</w:t>
        <w:br/>
        <w:t>│   ├── ai/</w:t>
        <w:br/>
        <w:t>│   │   ├── molecular_generation.py</w:t>
        <w:br/>
        <w:t>│   │   ├── molecular_filters.py</w:t>
        <w:br/>
        <w:t>│   │   └── predictor.py</w:t>
        <w:br/>
        <w:t>│   ├── quantum/</w:t>
        <w:br/>
        <w:t>│   │   ├── build_hamiltonian.py</w:t>
        <w:br/>
        <w:t>│   │   ├── run_vqe.py</w:t>
        <w:br/>
        <w:t>│   │   └── validate_energy.py</w:t>
        <w:br/>
        <w:t>│   ├── evaluation/</w:t>
        <w:br/>
        <w:t>│   │   ├── docking_metrics.py</w:t>
        <w:br/>
        <w:t>│   │   └── quantum_metrics.py</w:t>
        <w:br/>
        <w:t>│   └── dashboard/</w:t>
        <w:br/>
        <w:t>│       └── app.py</w:t>
        <w:br/>
        <w:t>├── configs/</w:t>
        <w:br/>
        <w:t>├── results/</w:t>
        <w:br/>
        <w:t>│   ├── docking/</w:t>
        <w:br/>
        <w:t>│   ├── quantum/</w:t>
        <w:br/>
        <w:t>│   └── figures/</w:t>
        <w:br/>
        <w:t>├── tests/</w:t>
        <w:br/>
        <w:t>├── run_demo.py</w:t>
        <w:br/>
        <w:t>├── requirements.txt</w:t>
        <w:br/>
        <w:t>└── README.md</w:t>
      </w:r>
    </w:p>
    <w:p>
      <w:pPr>
        <w:pStyle w:val="Heading1"/>
      </w:pPr>
      <w:r>
        <w:t>9. Team Workstreams</w:t>
      </w:r>
    </w:p>
    <w:p>
      <w:pPr>
        <w:pStyle w:val="ListBullet"/>
        <w:spacing w:after="40"/>
      </w:pPr>
      <w:r>
        <w:t>Chemistry and target preparation: protein structure, reference compounds, ligand preparation, docking sanity checks.</w:t>
      </w:r>
    </w:p>
    <w:p>
      <w:pPr>
        <w:pStyle w:val="ListBullet"/>
        <w:spacing w:after="40"/>
      </w:pPr>
      <w:r>
        <w:t>Molecular AI/ML: candidate generation, RDKit processing, dataset curation, predictors, leakage-safe evaluation.</w:t>
      </w:r>
    </w:p>
    <w:p>
      <w:pPr>
        <w:pStyle w:val="ListBullet"/>
        <w:spacing w:after="40"/>
      </w:pPr>
      <w:r>
        <w:t>Quantum chemistry: model selection, Hamiltonian construction, VQE, exact-reference validation.</w:t>
      </w:r>
    </w:p>
    <w:p>
      <w:pPr>
        <w:pStyle w:val="ListBullet"/>
        <w:spacing w:after="40"/>
      </w:pPr>
      <w:r>
        <w:t>Evaluation and research: benchmark design, metrics, ablations, limitations, and scientific narrative.</w:t>
      </w:r>
    </w:p>
    <w:p>
      <w:pPr>
        <w:pStyle w:val="ListBullet"/>
        <w:spacing w:after="40"/>
      </w:pPr>
      <w:r>
        <w:t>Dashboard and integration: stage orchestration, candidate registry, logs, progress display, 3D views, report export.</w:t>
      </w:r>
    </w:p>
    <w:p>
      <w:pPr>
        <w:pStyle w:val="ListBullet"/>
        <w:spacing w:after="40"/>
      </w:pPr>
      <w:r>
        <w:t>Pitch and demo ownership: clear problem framing, evidence-first story, live-demo script, and answers to limitations.</w:t>
      </w:r>
    </w:p>
    <w:p>
      <w:pPr>
        <w:pStyle w:val="Heading1"/>
      </w:pPr>
      <w:r>
        <w:t>10. Risks and How We Handle Them</w:t>
      </w:r>
    </w:p>
    <w:tbl>
      <w:tblPr>
        <w:tblStyle w:val="TableGrid"/>
        <w:tblW w:type="auto" w:w="0"/>
        <w:tblLook w:firstColumn="1" w:firstRow="1" w:lastColumn="0" w:lastRow="0" w:noHBand="0" w:noVBand="1" w:val="04A0"/>
      </w:tblPr>
      <w:tblGrid>
        <w:gridCol w:w="4968"/>
        <w:gridCol w:w="4968"/>
      </w:tblGrid>
      <w:tr>
        <w:tc>
          <w:tcPr>
            <w:tcW w:type="dxa" w:w="4968"/>
            <w:shd w:fill="183153"/>
            <w:vAlign w:val="center"/>
          </w:tcPr>
          <w:p>
            <w:pPr>
              <w:spacing w:after="20"/>
            </w:pPr>
            <w:r/>
            <w:r>
              <w:rPr>
                <w:rFonts w:ascii="Aptos" w:hAnsi="Aptos"/>
                <w:b/>
                <w:color w:val="FFFFFF"/>
                <w:sz w:val="18"/>
              </w:rPr>
              <w:t>Risk</w:t>
            </w:r>
          </w:p>
        </w:tc>
        <w:tc>
          <w:tcPr>
            <w:tcW w:type="dxa" w:w="4968"/>
            <w:shd w:fill="183153"/>
            <w:vAlign w:val="center"/>
          </w:tcPr>
          <w:p>
            <w:pPr>
              <w:spacing w:after="20"/>
            </w:pPr>
            <w:r/>
            <w:r>
              <w:rPr>
                <w:rFonts w:ascii="Aptos" w:hAnsi="Aptos"/>
                <w:b/>
                <w:color w:val="FFFFFF"/>
                <w:sz w:val="18"/>
              </w:rPr>
              <w:t>Mitigation</w:t>
            </w:r>
          </w:p>
        </w:tc>
      </w:tr>
      <w:tr>
        <w:tc>
          <w:tcPr>
            <w:tcW w:type="dxa" w:w="4968"/>
            <w:vAlign w:val="center"/>
          </w:tcPr>
          <w:p>
            <w:pPr>
              <w:spacing w:after="20"/>
            </w:pPr>
            <w:r/>
            <w:r>
              <w:rPr>
                <w:rFonts w:ascii="Aptos" w:hAnsi="Aptos"/>
                <w:b/>
                <w:sz w:val="18"/>
              </w:rPr>
              <w:t>Quantum module appears disconnected</w:t>
            </w:r>
          </w:p>
        </w:tc>
        <w:tc>
          <w:tcPr>
            <w:tcW w:type="dxa" w:w="4968"/>
            <w:vAlign w:val="center"/>
          </w:tcPr>
          <w:p>
            <w:pPr>
              <w:spacing w:after="20"/>
            </w:pPr>
            <w:r/>
            <w:r>
              <w:rPr>
                <w:rFonts w:ascii="Aptos" w:hAnsi="Aptos"/>
                <w:b w:val="0"/>
                <w:sz w:val="18"/>
              </w:rPr>
              <w:t>Choose a well-defined chemistry problem, validate against exact/classical references, and do not claim it improves drug ranking unless tested.</w:t>
            </w:r>
          </w:p>
        </w:tc>
      </w:tr>
      <w:tr>
        <w:tc>
          <w:tcPr>
            <w:tcW w:type="dxa" w:w="4968"/>
            <w:vAlign w:val="center"/>
          </w:tcPr>
          <w:p>
            <w:pPr>
              <w:spacing w:after="20"/>
            </w:pPr>
            <w:r/>
            <w:r>
              <w:rPr>
                <w:rFonts w:ascii="Aptos" w:hAnsi="Aptos"/>
                <w:b/>
                <w:sz w:val="18"/>
              </w:rPr>
              <w:t>Generated molecules are invalid or unrealistic</w:t>
            </w:r>
          </w:p>
        </w:tc>
        <w:tc>
          <w:tcPr>
            <w:tcW w:type="dxa" w:w="4968"/>
            <w:vAlign w:val="center"/>
          </w:tcPr>
          <w:p>
            <w:pPr>
              <w:spacing w:after="20"/>
            </w:pPr>
            <w:r/>
            <w:r>
              <w:rPr>
                <w:rFonts w:ascii="Aptos" w:hAnsi="Aptos"/>
                <w:b w:val="0"/>
                <w:sz w:val="18"/>
              </w:rPr>
              <w:t>Validate with RDKit, deduplicate, apply transparent filters, and show rejection reasons.</w:t>
            </w:r>
          </w:p>
        </w:tc>
      </w:tr>
      <w:tr>
        <w:tc>
          <w:tcPr>
            <w:tcW w:type="dxa" w:w="4968"/>
            <w:vAlign w:val="center"/>
          </w:tcPr>
          <w:p>
            <w:pPr>
              <w:spacing w:after="20"/>
            </w:pPr>
            <w:r/>
            <w:r>
              <w:rPr>
                <w:rFonts w:ascii="Aptos" w:hAnsi="Aptos"/>
                <w:b/>
                <w:sz w:val="18"/>
              </w:rPr>
              <w:t>Docking results are misleading</w:t>
            </w:r>
          </w:p>
        </w:tc>
        <w:tc>
          <w:tcPr>
            <w:tcW w:type="dxa" w:w="4968"/>
            <w:vAlign w:val="center"/>
          </w:tcPr>
          <w:p>
            <w:pPr>
              <w:spacing w:after="20"/>
            </w:pPr>
            <w:r/>
            <w:r>
              <w:rPr>
                <w:rFonts w:ascii="Aptos" w:hAnsi="Aptos"/>
                <w:b w:val="0"/>
                <w:sz w:val="18"/>
              </w:rPr>
              <w:t>Treat scores as approximate, use reference checks, inspect poses, and avoid calling top-ranked molecules proven binders.</w:t>
            </w:r>
          </w:p>
        </w:tc>
      </w:tr>
      <w:tr>
        <w:tc>
          <w:tcPr>
            <w:tcW w:type="dxa" w:w="4968"/>
            <w:vAlign w:val="center"/>
          </w:tcPr>
          <w:p>
            <w:pPr>
              <w:spacing w:after="20"/>
            </w:pPr>
            <w:r/>
            <w:r>
              <w:rPr>
                <w:rFonts w:ascii="Aptos" w:hAnsi="Aptos"/>
                <w:b/>
                <w:sz w:val="18"/>
              </w:rPr>
              <w:t>Insufficient training data</w:t>
            </w:r>
          </w:p>
        </w:tc>
        <w:tc>
          <w:tcPr>
            <w:tcW w:type="dxa" w:w="4968"/>
            <w:vAlign w:val="center"/>
          </w:tcPr>
          <w:p>
            <w:pPr>
              <w:spacing w:after="20"/>
            </w:pPr>
            <w:r/>
            <w:r>
              <w:rPr>
                <w:rFonts w:ascii="Aptos" w:hAnsi="Aptos"/>
                <w:b w:val="0"/>
                <w:sz w:val="18"/>
              </w:rPr>
              <w:t>Use a modest, transparent baseline or pretrained model; report limitations rather than overfit a complex model.</w:t>
            </w:r>
          </w:p>
        </w:tc>
      </w:tr>
      <w:tr>
        <w:tc>
          <w:tcPr>
            <w:tcW w:type="dxa" w:w="4968"/>
            <w:vAlign w:val="center"/>
          </w:tcPr>
          <w:p>
            <w:pPr>
              <w:spacing w:after="20"/>
            </w:pPr>
            <w:r/>
            <w:r>
              <w:rPr>
                <w:rFonts w:ascii="Aptos" w:hAnsi="Aptos"/>
                <w:b/>
                <w:sz w:val="18"/>
              </w:rPr>
              <w:t>Pipeline is too slow for a live demo</w:t>
            </w:r>
          </w:p>
        </w:tc>
        <w:tc>
          <w:tcPr>
            <w:tcW w:type="dxa" w:w="4968"/>
            <w:vAlign w:val="center"/>
          </w:tcPr>
          <w:p>
            <w:pPr>
              <w:spacing w:after="20"/>
            </w:pPr>
            <w:r/>
            <w:r>
              <w:rPr>
                <w:rFonts w:ascii="Aptos" w:hAnsi="Aptos"/>
                <w:b w:val="0"/>
                <w:sz w:val="18"/>
              </w:rPr>
              <w:t>Cache clearly labeled structures/reference datasets and model weights; run the key computation live and show real progress/logs. Never fabricate results.</w:t>
            </w:r>
          </w:p>
        </w:tc>
      </w:tr>
      <w:tr>
        <w:tc>
          <w:tcPr>
            <w:tcW w:type="dxa" w:w="4968"/>
            <w:vAlign w:val="center"/>
          </w:tcPr>
          <w:p>
            <w:pPr>
              <w:spacing w:after="20"/>
            </w:pPr>
            <w:r/>
            <w:r>
              <w:rPr>
                <w:rFonts w:ascii="Aptos" w:hAnsi="Aptos"/>
                <w:b/>
                <w:sz w:val="18"/>
              </w:rPr>
              <w:t>Hardware access is unavailable</w:t>
            </w:r>
          </w:p>
        </w:tc>
        <w:tc>
          <w:tcPr>
            <w:tcW w:type="dxa" w:w="4968"/>
            <w:vAlign w:val="center"/>
          </w:tcPr>
          <w:p>
            <w:pPr>
              <w:spacing w:after="20"/>
            </w:pPr>
            <w:r/>
            <w:r>
              <w:rPr>
                <w:rFonts w:ascii="Aptos" w:hAnsi="Aptos"/>
                <w:b w:val="0"/>
                <w:sz w:val="18"/>
              </w:rPr>
              <w:t>Use a simulator for the validated quantum experiment; label it accurately and present hardware execution as optional, not completed.</w:t>
            </w:r>
          </w:p>
        </w:tc>
      </w:tr>
      <w:tr>
        <w:tc>
          <w:tcPr>
            <w:tcW w:type="dxa" w:w="4968"/>
            <w:vAlign w:val="center"/>
          </w:tcPr>
          <w:p>
            <w:pPr>
              <w:spacing w:after="20"/>
            </w:pPr>
            <w:r/>
            <w:r>
              <w:rPr>
                <w:rFonts w:ascii="Aptos" w:hAnsi="Aptos"/>
                <w:b/>
                <w:sz w:val="18"/>
              </w:rPr>
              <w:t>Scientific claim exceeds evidence</w:t>
            </w:r>
          </w:p>
        </w:tc>
        <w:tc>
          <w:tcPr>
            <w:tcW w:type="dxa" w:w="4968"/>
            <w:vAlign w:val="center"/>
          </w:tcPr>
          <w:p>
            <w:pPr>
              <w:spacing w:after="20"/>
            </w:pPr>
            <w:r/>
            <w:r>
              <w:rPr>
                <w:rFonts w:ascii="Aptos" w:hAnsi="Aptos"/>
                <w:b w:val="0"/>
                <w:sz w:val="18"/>
              </w:rPr>
              <w:t>Use the phrase “computationally prioritized candidates” and state that experimental testing is required.</w:t>
            </w:r>
          </w:p>
        </w:tc>
      </w:tr>
    </w:tbl>
    <w:p>
      <w:pPr>
        <w:pStyle w:val="Heading1"/>
      </w:pPr>
      <w:r>
        <w:t>11. Expected Deliverables</w:t>
      </w:r>
    </w:p>
    <w:p>
      <w:pPr>
        <w:pStyle w:val="ListBullet"/>
        <w:spacing w:after="40"/>
      </w:pPr>
      <w:r>
        <w:t>An integrated, runnable QuantumBio Discovery dashboard.</w:t>
      </w:r>
    </w:p>
    <w:p>
      <w:pPr>
        <w:pStyle w:val="ListBullet"/>
        <w:spacing w:after="40"/>
      </w:pPr>
      <w:r>
        <w:t>A prepared and documented target protein with a justified binding-site setup.</w:t>
      </w:r>
    </w:p>
    <w:p>
      <w:pPr>
        <w:pStyle w:val="ListBullet"/>
        <w:spacing w:after="40"/>
      </w:pPr>
      <w:r>
        <w:t>A traceable candidate library with molecular structures, validity checks, and filtering records.</w:t>
      </w:r>
    </w:p>
    <w:p>
      <w:pPr>
        <w:pStyle w:val="ListBullet"/>
        <w:spacing w:after="40"/>
      </w:pPr>
      <w:r>
        <w:t>A classical docking/ML screening pipeline with reproducible settings and ranked outputs.</w:t>
      </w:r>
    </w:p>
    <w:p>
      <w:pPr>
        <w:pStyle w:val="ListBullet"/>
        <w:spacing w:after="40"/>
      </w:pPr>
      <w:r>
        <w:t>A VQE experiment validated against exact diagonalization of the same Hamiltonian and a suitable classical reference.</w:t>
      </w:r>
    </w:p>
    <w:p>
      <w:pPr>
        <w:pStyle w:val="ListBullet"/>
        <w:spacing w:after="40"/>
      </w:pPr>
      <w:r>
        <w:t>An evaluation report that honestly states whether quantum-derived information adds value.</w:t>
      </w:r>
    </w:p>
    <w:p>
      <w:pPr>
        <w:pStyle w:val="ListBullet"/>
        <w:spacing w:after="40"/>
      </w:pPr>
      <w:r>
        <w:t>A live-demo script, architecture diagram, README, environment/setup instructions, and test results.</w:t>
      </w:r>
    </w:p>
    <w:p>
      <w:pPr>
        <w:pStyle w:val="Heading1"/>
      </w:pPr>
      <w:r>
        <w:t>12. What This Project Does — and Does Not — Claim</w:t>
      </w:r>
    </w:p>
    <w:p>
      <w:r>
        <w:t>QuantumBio Discovery aims to prioritize hypotheses for further investigation. It does not establish that a candidate kills bacteria, is safe, can be synthesized, reaches the intended biological target in vivo, or is clinically effective. Those claims require experimental chemistry, microbiology, toxicology, and later development studies.</w:t>
      </w:r>
    </w:p>
    <w:p>
      <w:r>
        <w:t>Likewise, running VQE on a molecule does not automatically provide a quantum advantage for drug discovery. The project will demonstrate quantum value only if the chosen model is chemically justified, its result is validated, and any claimed benefit to ranking is supported by a fair benchmark.</w:t>
      </w:r>
    </w:p>
    <w:p>
      <w:pPr>
        <w:pStyle w:val="Heading1"/>
      </w:pPr>
      <w:r>
        <w:t>13. Short Pitch for Judges</w:t>
      </w:r>
    </w:p>
    <w:p>
      <w:pPr>
        <w:ind w:left="360" w:right="360"/>
      </w:pPr>
      <w:r>
        <w:rPr>
          <w:i/>
          <w:color w:val="183153"/>
          <w:sz w:val="22"/>
        </w:rPr>
        <w:t>“QuantumBio Discovery is an auditable AI–classical–quantum research platform for prioritizing potential antibiotic candidates against antimicrobial-resistance targets. It connects molecular generation, chemistry-aware filtering, protein–ligand docking, machine-learning screening, and a validated VQE experiment in one reproducible workflow. Our key contribution is not merely adding quantum computing to drug discovery: we test, against classical references and held-out benchmarks, whether quantum-derived information provides measurable value. Every candidate, score, assumption, and failure is traceable, and our results are presented as computational hypotheses that require experimental validation.”</w:t>
      </w:r>
    </w:p>
    <w:p>
      <w:pPr>
        <w:pStyle w:val="Heading1"/>
      </w:pPr>
      <w:r>
        <w:t>14. Recommended Build Principle</w:t>
      </w:r>
    </w:p>
    <w:p>
      <w:r>
        <w:t>Build → Test → Measure → Integrate → Demonstrate. Start with a working classical pipeline and a small validated quantum experiment. Add complexity only when it improves the science or the user experience. A modest result backed by reproducible evidence is stronger than a large claim that cannot be defended.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QuantumBio Discovery | Project Definition and Technical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9770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1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