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1B3A5C"/>
          <w:sz w:val="72"/>
          <w:szCs w:val="72"/>
        </w:rPr>
        <w:t xml:space="preserve">TASS</w:t>
      </w:r>
    </w:p>
    <w:p>
      <w:pPr>
        <w:spacing w:after="120"/>
        <w:jc w:val="center"/>
      </w:pPr>
      <w:r>
        <w:rPr>
          <w:rFonts w:ascii="Arial" w:cs="Arial" w:eastAsia="Arial" w:hAnsi="Arial"/>
          <w:color w:val="2E75B6"/>
          <w:sz w:val="32"/>
          <w:szCs w:val="32"/>
        </w:rPr>
        <w:t xml:space="preserve">Trusted AI Security Scanner</w:t>
      </w:r>
    </w:p>
    <w:p>
      <w:pPr>
        <w:pBdr>
          <w:bottom w:val="single" w:color="2E75B6" w:sz="4" w:space="8"/>
        </w:pBdr>
        <w:spacing w:after="80"/>
        <w:jc w:val="center"/>
      </w:pPr>
      <w:r>
        <w:rPr>
          <w:rFonts w:ascii="Arial" w:cs="Arial" w:eastAsia="Arial" w:hAnsi="Arial"/>
          <w:color w:val="666666"/>
          <w:sz w:val="24"/>
          <w:szCs w:val="24"/>
        </w:rPr>
        <w:t xml:space="preserve">v3.0 — The Disagreement Engine</w:t>
      </w:r>
    </w:p>
    <w:p>
      <w:pPr>
        <w:spacing w:after="600"/>
      </w:pPr>
      <w:r>
        <w:t xml:space="preserve"/>
      </w:r>
    </w:p>
    <w:p>
      <w:pPr>
        <w:spacing w:after="120"/>
        <w:jc w:val="center"/>
      </w:pPr>
      <w:r>
        <w:rPr>
          <w:rFonts w:ascii="Arial" w:cs="Arial" w:eastAsia="Arial" w:hAnsi="Arial"/>
          <w:color w:val="666666"/>
          <w:sz w:val="22"/>
          <w:szCs w:val="22"/>
        </w:rPr>
        <w:t xml:space="preserve">Comprehensive Overview &amp; Internal Planning Document</w:t>
      </w:r>
    </w:p>
    <w:p>
      <w:pPr>
        <w:spacing w:after="120"/>
        <w:jc w:val="center"/>
      </w:pPr>
      <w:r>
        <w:rPr>
          <w:rFonts w:ascii="Arial" w:cs="Arial" w:eastAsia="Arial" w:hAnsi="Arial"/>
          <w:color w:val="666666"/>
          <w:sz w:val="22"/>
          <w:szCs w:val="22"/>
        </w:rPr>
        <w:t xml:space="preserve">February 2026</w:t>
      </w:r>
    </w:p>
    <w:p>
      <w:pPr>
        <w:spacing w:after="1200"/>
      </w:pPr>
      <w:r>
        <w:t xml:space="preserve"/>
      </w:r>
    </w:p>
    <w:p>
      <w:pPr>
        <w:spacing w:after="60"/>
        <w:jc w:val="center"/>
      </w:pPr>
      <w:r>
        <w:rPr>
          <w:rFonts w:ascii="Arial" w:cs="Arial" w:eastAsia="Arial" w:hAnsi="Arial"/>
          <w:b/>
          <w:bCs/>
          <w:color w:val="D4740E"/>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p>
      <w:pPr>
        <w:spacing w:after="160" w:line="300"/>
      </w:pPr>
      <w:r>
        <w:rPr>
          <w:rFonts w:ascii="Arial" w:cs="Arial" w:eastAsia="Arial" w:hAnsi="Arial"/>
          <w:color w:val="333333"/>
          <w:sz w:val="22"/>
          <w:szCs w:val="22"/>
        </w:rPr>
        <w:t xml:space="preserve">1.  Executive Summary</w:t>
      </w:r>
    </w:p>
    <w:p>
      <w:pPr>
        <w:spacing w:after="160" w:line="300"/>
      </w:pPr>
      <w:r>
        <w:rPr>
          <w:rFonts w:ascii="Arial" w:cs="Arial" w:eastAsia="Arial" w:hAnsi="Arial"/>
          <w:color w:val="333333"/>
          <w:sz w:val="22"/>
          <w:szCs w:val="22"/>
        </w:rPr>
        <w:t xml:space="preserve">2.  The Problem: AI Code Generation Crisis</w:t>
      </w:r>
    </w:p>
    <w:p>
      <w:pPr>
        <w:spacing w:after="160" w:line="300"/>
      </w:pPr>
      <w:r>
        <w:rPr>
          <w:rFonts w:ascii="Arial" w:cs="Arial" w:eastAsia="Arial" w:hAnsi="Arial"/>
          <w:color w:val="333333"/>
          <w:sz w:val="22"/>
          <w:szCs w:val="22"/>
        </w:rPr>
        <w:t xml:space="preserve">3.  The Solution: How TASS Works</w:t>
      </w:r>
    </w:p>
    <w:p>
      <w:pPr>
        <w:spacing w:after="160" w:line="300"/>
      </w:pPr>
      <w:r>
        <w:rPr>
          <w:rFonts w:ascii="Arial" w:cs="Arial" w:eastAsia="Arial" w:hAnsi="Arial"/>
          <w:color w:val="333333"/>
          <w:sz w:val="22"/>
          <w:szCs w:val="22"/>
        </w:rPr>
        <w:t xml:space="preserve">4.  Technical Architecture</w:t>
      </w:r>
    </w:p>
    <w:p>
      <w:pPr>
        <w:spacing w:after="160" w:line="300"/>
      </w:pPr>
      <w:r>
        <w:rPr>
          <w:rFonts w:ascii="Arial" w:cs="Arial" w:eastAsia="Arial" w:hAnsi="Arial"/>
          <w:color w:val="333333"/>
          <w:sz w:val="22"/>
          <w:szCs w:val="22"/>
        </w:rPr>
        <w:t xml:space="preserve">5.  Market Opportunity &amp; Business Model</w:t>
      </w:r>
    </w:p>
    <w:p>
      <w:pPr>
        <w:spacing w:after="160" w:line="300"/>
      </w:pPr>
      <w:r>
        <w:rPr>
          <w:rFonts w:ascii="Arial" w:cs="Arial" w:eastAsia="Arial" w:hAnsi="Arial"/>
          <w:color w:val="333333"/>
          <w:sz w:val="22"/>
          <w:szCs w:val="22"/>
        </w:rPr>
        <w:t xml:space="preserve">6.  Roadmap &amp; Phased Strategy</w:t>
      </w:r>
    </w:p>
    <w:p>
      <w:pPr>
        <w:spacing w:after="160" w:line="300"/>
      </w:pPr>
      <w:r>
        <w:rPr>
          <w:rFonts w:ascii="Arial" w:cs="Arial" w:eastAsia="Arial" w:hAnsi="Arial"/>
          <w:color w:val="333333"/>
          <w:sz w:val="22"/>
          <w:szCs w:val="22"/>
        </w:rPr>
        <w:t xml:space="preserve">7.  Key Metrics &amp; Success Criteria</w:t>
      </w:r>
    </w:p>
    <w:p>
      <w:pPr>
        <w:spacing w:after="160" w:line="300"/>
      </w:pPr>
      <w:r>
        <w:rPr>
          <w:rFonts w:ascii="Arial" w:cs="Arial" w:eastAsia="Arial" w:hAnsi="Arial"/>
          <w:color w:val="333333"/>
          <w:sz w:val="22"/>
          <w:szCs w:val="22"/>
        </w:rPr>
        <w:t xml:space="preserve">8.  Competitive Moat &amp; Defensibility</w:t>
      </w:r>
    </w:p>
    <w:p>
      <w:pPr>
        <w:spacing w:after="160" w:line="300"/>
      </w:pPr>
      <w:r>
        <w:rPr>
          <w:rFonts w:ascii="Arial" w:cs="Arial" w:eastAsia="Arial" w:hAnsi="Arial"/>
          <w:color w:val="333333"/>
          <w:sz w:val="22"/>
          <w:szCs w:val="22"/>
        </w:rPr>
        <w:t xml:space="preserve">9.  Risks &amp; Mitigations</w:t>
      </w:r>
    </w:p>
    <w:p>
      <w:pPr>
        <w:spacing w:after="160" w:line="300"/>
      </w:pPr>
      <w:r>
        <w:rPr>
          <w:rFonts w:ascii="Arial" w:cs="Arial" w:eastAsia="Arial" w:hAnsi="Arial"/>
          <w:color w:val="333333"/>
          <w:sz w:val="22"/>
          <w:szCs w:val="22"/>
        </w:rPr>
        <w:t xml:space="preserve">10. Scope Boundaries</w:t>
      </w:r>
    </w:p>
    <w:p>
      <w:pPr>
        <w:spacing w:after="160" w:line="300"/>
      </w:pPr>
      <w:r>
        <w:rPr>
          <w:rFonts w:ascii="Arial" w:cs="Arial" w:eastAsia="Arial" w:hAnsi="Arial"/>
          <w:color w:val="333333"/>
          <w:sz w:val="22"/>
          <w:szCs w:val="22"/>
        </w:rPr>
        <w:t xml:space="preserve">11. UX Principles &amp; Tone</w:t>
      </w:r>
    </w:p>
    <w:p>
      <w:pPr>
        <w:spacing w:after="160" w:line="300"/>
      </w:pPr>
      <w:r>
        <w:rPr>
          <w:rFonts w:ascii="Arial" w:cs="Arial" w:eastAsia="Arial" w:hAnsi="Arial"/>
          <w:color w:val="333333"/>
          <w:sz w:val="22"/>
          <w:szCs w:val="22"/>
        </w:rPr>
        <w:t xml:space="preserve">12. Decision Points &amp; Next Steps</w:t>
      </w:r>
    </w:p>
    <w:p>
      <w:pPr>
        <w:spacing w:after="200"/>
      </w:pPr>
      <w:r>
        <w:t xml:space="preserve"/>
      </w:r>
    </w:p>
    <w:p>
      <w:r>
        <w:r>
          <w:br w:type="page"/>
        </w:r>
      </w:r>
    </w:p>
    <w:p>
      <w:pPr>
        <w:pStyle w:val="Heading1"/>
      </w:pPr>
      <w:r>
        <w:t xml:space="preserve">1. Executive Summary</w:t>
      </w:r>
    </w:p>
    <w:p>
      <w:pPr>
        <w:spacing w:after="160" w:line="300"/>
      </w:pPr>
      <w:r>
        <w:rPr>
          <w:rFonts w:ascii="Arial" w:cs="Arial" w:eastAsia="Arial" w:hAnsi="Arial"/>
          <w:color w:val="333333"/>
          <w:sz w:val="22"/>
          <w:szCs w:val="22"/>
        </w:rPr>
        <w:t xml:space="preserve">TASS (Trusted AI Security Scanner) is a capability detection system purpose-built for the age of AI-generated code. As tools like GitHub Copilot and Cursor write entire features, developers increasingly skim AI-generated summaries and rubber-stamp pull requests—allowing dangerous capabilities like hardcoded secrets, unapproved API calls, and privilege escalations to slip through undetected.</w:t>
      </w:r>
    </w:p>
    <w:p>
      <w:pPr>
        <w:spacing w:after="160" w:line="300"/>
      </w:pPr>
      <w:r>
        <w:rPr>
          <w:rFonts w:ascii="Arial" w:cs="Arial" w:eastAsia="Arial" w:hAnsi="Arial"/>
          <w:color w:val="333333"/>
          <w:sz w:val="22"/>
          <w:szCs w:val="22"/>
        </w:rPr>
        <w:t xml:space="preserve">TASS v3.0, internally dubbed the “Disagreement Engine,” addresses this by automatically scanning pull requests for newly introduced capabilities, comparing them against a historical baseline of what’s “normal” for a given repository, and surfacing only the novel, unexpected changes for explicit human confirmation. The core interaction is radically simple: developers are shown a detected capability (“This PR adds Stripe API access”) and asked to confirm or revert—no forms, no questionnaires, just a binary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Core Value Proposition</w:t>
            </w:r>
          </w:p>
          <w:p>
            <w:pPr>
              <w:spacing w:after="0" w:line="280"/>
            </w:pPr>
            <w:r>
              <w:rPr>
                <w:rFonts w:ascii="Arial" w:cs="Arial" w:eastAsia="Arial" w:hAnsi="Arial"/>
                <w:color w:val="333333"/>
                <w:sz w:val="20"/>
                <w:szCs w:val="20"/>
              </w:rPr>
              <w:t xml:space="preserve">Machines state facts (“This code calls http.Post()”). Humans state intent (“I wanted to add a contact form”). TASS forces agreement between reality and intent, catching the gaps where security incidents live.</w:t>
            </w:r>
          </w:p>
        </w:tc>
      </w:tr>
    </w:tbl>
    <w:p>
      <w:pPr>
        <w:spacing w:after="120"/>
      </w:pPr>
      <w:r>
        <w:t xml:space="preserve"/>
      </w:r>
    </w:p>
    <w:p>
      <w:pPr>
        <w:spacing w:after="160" w:line="300"/>
      </w:pPr>
      <w:r>
        <w:rPr>
          <w:rFonts w:ascii="Arial" w:cs="Arial" w:eastAsia="Arial" w:hAnsi="Arial"/>
          <w:color w:val="333333"/>
          <w:sz w:val="22"/>
          <w:szCs w:val="22"/>
        </w:rPr>
        <w:t xml:space="preserve">The system is designed as a solo-developer project with a phased roadmap spanning five years, starting as a PR-level developer tool and evolving into a platform with cross-customer intelligence and infrastructure policy generation. The total addressable market is estimated at $200M ARR at maturity, targeting the rapidly growing intersection of AI code generation and developer security tooling.</w:t>
      </w:r>
    </w:p>
    <w:p>
      <w:r>
        <w:r>
          <w:br w:type="page"/>
        </w:r>
      </w:r>
    </w:p>
    <w:p>
      <w:pPr>
        <w:pStyle w:val="Heading1"/>
      </w:pPr>
      <w:r>
        <w:t xml:space="preserve">2. The Problem: AI Code Generation Crisis</w:t>
      </w:r>
    </w:p>
    <w:p>
      <w:pPr>
        <w:pStyle w:val="Heading2"/>
      </w:pPr>
      <w:r>
        <w:t xml:space="preserve">2.1 The Rubber-Stamp Epidemic</w:t>
      </w:r>
    </w:p>
    <w:p>
      <w:pPr>
        <w:spacing w:after="160" w:line="300"/>
      </w:pPr>
      <w:r>
        <w:rPr>
          <w:rFonts w:ascii="Arial" w:cs="Arial" w:eastAsia="Arial" w:hAnsi="Arial"/>
          <w:color w:val="333333"/>
          <w:sz w:val="22"/>
          <w:szCs w:val="22"/>
        </w:rPr>
        <w:t xml:space="preserve">AI code generation tools have fundamentally changed how software gets written. GitHub Copilot, Cursor, and similar tools can generate entire features, complete with API integrations, database schemas, and network calls. This creates a paradox: the code is produced faster than humans can meaningfully review it.</w:t>
      </w:r>
    </w:p>
    <w:p>
      <w:pPr>
        <w:spacing w:after="160" w:line="300"/>
      </w:pPr>
      <w:r>
        <w:rPr>
          <w:rFonts w:ascii="Arial" w:cs="Arial" w:eastAsia="Arial" w:hAnsi="Arial"/>
          <w:color w:val="333333"/>
          <w:sz w:val="22"/>
          <w:szCs w:val="22"/>
        </w:rPr>
        <w:t xml:space="preserve">The result is a growing pattern of “rubber-stamp reviews,” where developers glance at AI-generated summaries, confirm the code compiles, and approve the pull request. The dangerous capabilities embedded within—an unapproved external API call here, a new database write path there—pass through unnoticed.</w:t>
      </w:r>
    </w:p>
    <w:p>
      <w:pPr>
        <w:pStyle w:val="Heading2"/>
      </w:pPr>
      <w:r>
        <w:t xml:space="preserve">2.2 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Category</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Misses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SAST (e.g., Semgrep)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Detects code patterns matching known vulnerability signatures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Cannot detect novel capabilities that aren’t vulnerabilities—just unexpected</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SCA (e.g., Snyk)</w:t>
            </w:r>
          </w:p>
        </w:tc>
        <w:tc>
          <w:tcPr>
            <w:tcW w:type="dxa" w:w="3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Scans dependencies for known CVEs</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Doesn’t analyze what the code actually does with those dependencies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Code Review Tools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Highlights diffs, adds comments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Relies on humans noticing dangerous patterns in large AI-generated diffs</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AI PR Summarizers</w:t>
            </w:r>
          </w:p>
        </w:tc>
        <w:tc>
          <w:tcPr>
            <w:tcW w:type="dxa" w:w="3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Generate natural language summaries of changes</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Summaries can miss or downplay security-relevant capabilities</w:t>
            </w:r>
          </w:p>
        </w:tc>
      </w:tr>
    </w:tbl>
    <w:p>
      <w:pPr>
        <w:spacing w:after="120"/>
      </w:pPr>
      <w:r>
        <w:t xml:space="preserve"/>
      </w:r>
    </w:p>
    <w:p>
      <w:pPr>
        <w:spacing w:after="160" w:line="300"/>
      </w:pPr>
      <w:r>
        <w:rPr>
          <w:rFonts w:ascii="Arial" w:cs="Arial" w:eastAsia="Arial" w:hAnsi="Arial"/>
          <w:color w:val="333333"/>
          <w:sz w:val="22"/>
          <w:szCs w:val="22"/>
        </w:rPr>
        <w:t xml:space="preserve">The fundamental gap is that no existing tool asks the question TASS asks: “Is this capability expected?” Vulnerability scanners check if code is broken. TASS checks if code is doing what the developer intended.</w:t>
      </w:r>
    </w:p>
    <w:p>
      <w:pPr>
        <w:pStyle w:val="Heading2"/>
      </w:pPr>
      <w:r>
        <w:t xml:space="preserve">2.3 The Intent-Reality Gap</w:t>
      </w:r>
    </w:p>
    <w:p>
      <w:pPr>
        <w:spacing w:after="160" w:line="300"/>
      </w:pPr>
      <w:r>
        <w:rPr>
          <w:rFonts w:ascii="Arial" w:cs="Arial" w:eastAsia="Arial" w:hAnsi="Arial"/>
          <w:color w:val="333333"/>
          <w:sz w:val="22"/>
          <w:szCs w:val="22"/>
        </w:rPr>
        <w:t xml:space="preserve">Every security incident involving AI-generated code follows the same pattern: the machine produced something technically functional but semantically wrong. A developer asks for a contact form and gets code that also opens a network socket. The code works—it just does more than intended. TASS is designed to live in this exact gap between what was requested and what was delivered.</w:t>
      </w:r>
    </w:p>
    <w:p>
      <w:r>
        <w:r>
          <w:br w:type="page"/>
        </w:r>
      </w:r>
    </w:p>
    <w:p>
      <w:pPr>
        <w:pStyle w:val="Heading1"/>
      </w:pPr>
      <w:r>
        <w:t xml:space="preserve">3. The Solution: How TASS Works</w:t>
      </w:r>
    </w:p>
    <w:p>
      <w:pPr>
        <w:pStyle w:val="Heading2"/>
      </w:pPr>
      <w:r>
        <w:t xml:space="preserve">3.1 Core Mechanic</w:t>
      </w:r>
    </w:p>
    <w:p>
      <w:pPr>
        <w:spacing w:after="160" w:line="300"/>
      </w:pPr>
      <w:r>
        <w:rPr>
          <w:rFonts w:ascii="Arial" w:cs="Arial" w:eastAsia="Arial" w:hAnsi="Arial"/>
          <w:color w:val="333333"/>
          <w:sz w:val="22"/>
          <w:szCs w:val="22"/>
        </w:rPr>
        <w:t xml:space="preserve">TASS operates on a three-step loop that runs automatically on every pull request:</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Auto-Scan.</w:t>
      </w:r>
      <w:r>
        <w:rPr>
          <w:rFonts w:ascii="Arial" w:cs="Arial" w:eastAsia="Arial" w:hAnsi="Arial"/>
          <w:color w:val="333333"/>
          <w:sz w:val="22"/>
          <w:szCs w:val="22"/>
        </w:rPr>
        <w:t xml:space="preserve"> When a PR opens, TASS’s on-premises Go agent scans the changed files using Tree-sitter AST parsing. It identifies infrastructure-level capabilities: external API calls, database write operations, network access, file system operations, dependency additions, and privilege-related patterns.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Baseline Check.</w:t>
      </w:r>
      <w:r>
        <w:rPr>
          <w:rFonts w:ascii="Arial" w:cs="Arial" w:eastAsia="Arial" w:hAnsi="Arial"/>
          <w:color w:val="333333"/>
          <w:sz w:val="22"/>
          <w:szCs w:val="22"/>
        </w:rPr>
        <w:t xml:space="preserve"> Detected capabilities are sent to the cloud-based Python Brain, which compares them against the repository’s historical baseline. The baseline represents what’s “normal” for this codebase—if the repo has used Stripe before, a new Stripe call isn’t novel. Only genuinely new or changed capabilities are flagged.</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Disagreement UI.</w:t>
      </w:r>
      <w:r>
        <w:rPr>
          <w:rFonts w:ascii="Arial" w:cs="Arial" w:eastAsia="Arial" w:hAnsi="Arial"/>
          <w:color w:val="333333"/>
          <w:sz w:val="22"/>
          <w:szCs w:val="22"/>
        </w:rPr>
        <w:t xml:space="preserve"> Novel capabilities are presented in a React-based verification interface. The developer sees exactly what was detected and makes a binary decision: Confirm (“Yes, I intended this”) or Revert (“No, this shouldn’t be here”). No forms, no questionnaires.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The Key Innovation</w:t>
            </w:r>
          </w:p>
          <w:p>
            <w:pPr>
              <w:spacing w:after="0" w:line="280"/>
            </w:pPr>
            <w:r>
              <w:rPr>
                <w:rFonts w:ascii="Arial" w:cs="Arial" w:eastAsia="Arial" w:hAnsi="Arial"/>
                <w:color w:val="333333"/>
                <w:sz w:val="20"/>
                <w:szCs w:val="20"/>
              </w:rPr>
              <w:t xml:space="preserve">Developers don’t fill out forms. They answer one question: “Did you mean to add [capability]? Yes or No.” This keeps friction near zero while forcing explicit acknowledgment of every new capability.</w:t>
            </w:r>
          </w:p>
        </w:tc>
      </w:tr>
    </w:tbl>
    <w:p>
      <w:pPr>
        <w:spacing w:after="120"/>
      </w:pPr>
      <w:r>
        <w:t xml:space="preserve"/>
      </w:r>
    </w:p>
    <w:p>
      <w:pPr>
        <w:pStyle w:val="Heading2"/>
      </w:pPr>
      <w:r>
        <w:t xml:space="preserve">3.2 Data Flow</w:t>
      </w:r>
    </w:p>
    <w:p>
      <w:pPr>
        <w:spacing w:after="160" w:line="300"/>
      </w:pPr>
      <w:r>
        <w:rPr>
          <w:rFonts w:ascii="Arial" w:cs="Arial" w:eastAsia="Arial" w:hAnsi="Arial"/>
          <w:color w:val="333333"/>
          <w:sz w:val="22"/>
          <w:szCs w:val="22"/>
        </w:rPr>
        <w:t xml:space="preserve">The system’s data flow is built around two critical data contracts: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CapabilitySet:</w:t>
      </w:r>
      <w:r>
        <w:rPr>
          <w:rFonts w:ascii="Arial" w:cs="Arial" w:eastAsia="Arial" w:hAnsi="Arial"/>
          <w:color w:val="333333"/>
          <w:sz w:val="22"/>
          <w:szCs w:val="22"/>
        </w:rPr>
        <w:t xml:space="preserve"> The JSON schema describing detected capabilities. Produced by the Go Scanner, consumed by the Python Brain. Contains capability type, location in code, confidence score, and contextual metadata.</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VerificationReceipt:</w:t>
      </w:r>
      <w:r>
        <w:rPr>
          <w:rFonts w:ascii="Arial" w:cs="Arial" w:eastAsia="Arial" w:hAnsi="Arial"/>
          <w:color w:val="333333"/>
          <w:sz w:val="22"/>
          <w:szCs w:val="22"/>
        </w:rPr>
        <w:t xml:space="preserve"> The JSON schema describing a developer’s decision. Produced by the React UI, consumed by the Python Brain for baseline updates. Contains the capability reference, decision (confirm/revert), timestamp, and developer identity.</w:t>
      </w:r>
    </w:p>
    <w:p>
      <w:pPr>
        <w:spacing w:after="80"/>
      </w:pPr>
      <w:r>
        <w:t xml:space="preserve"/>
      </w:r>
    </w:p>
    <w:p>
      <w:pPr>
        <w:spacing w:after="160" w:line="300"/>
      </w:pPr>
      <w:r>
        <w:rPr>
          <w:rFonts w:ascii="Arial" w:cs="Arial" w:eastAsia="Arial" w:hAnsi="Arial"/>
          <w:color w:val="333333"/>
          <w:sz w:val="22"/>
          <w:szCs w:val="22"/>
        </w:rPr>
        <w:t xml:space="preserve">These contracts are the backbone of the system. Getting them right early is critical—they define the interface between all three components and must remain stable as features are added.</w:t>
      </w:r>
    </w:p>
    <w:p>
      <w:pPr>
        <w:pStyle w:val="Heading2"/>
      </w:pPr>
      <w:r>
        <w:t xml:space="preserve">3.3 What TASS Detects</w:t>
      </w:r>
    </w:p>
    <w:p>
      <w:pPr>
        <w:spacing w:after="160" w:line="300"/>
      </w:pPr>
      <w:r>
        <w:rPr>
          <w:rFonts w:ascii="Arial" w:cs="Arial" w:eastAsia="Arial" w:hAnsi="Arial"/>
          <w:color w:val="333333"/>
          <w:sz w:val="22"/>
          <w:szCs w:val="22"/>
        </w:rPr>
        <w:t xml:space="preserve">TASS focuses exclusively on infrastructure-level capabilities, deliberately avoiding the territory occupied by SAST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 Category</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3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External API Calls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Stripe, Twilio, SendGrid, AWS SDK</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Unauthorized external communication is a top incident vector</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Database Operations</w:t>
            </w:r>
          </w:p>
        </w:tc>
        <w:tc>
          <w:tcPr>
            <w:tcW w:type="dxa" w:w="3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New write paths, schema changes, new collections</w:t>
            </w:r>
          </w:p>
        </w:tc>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Data mutation capabilities change the blast radius of a compromise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Network Access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Socket operations, HTTP clients, WebSocket connections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Network capabilities enable data exfiltration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File System Operations</w:t>
            </w:r>
          </w:p>
        </w:tc>
        <w:tc>
          <w:tcPr>
            <w:tcW w:type="dxa" w:w="3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File writes, temp directory access, path traversal patterns</w:t>
            </w:r>
          </w:p>
        </w:tc>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File system access can indicate persistence mechanisms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Dependency Changes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New packages, version bumps, transitive dependency additions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Supply chain attacks enter through dependencies</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Privilege Patterns</w:t>
            </w:r>
          </w:p>
        </w:tc>
        <w:tc>
          <w:tcPr>
            <w:tcW w:type="dxa" w:w="3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Auth bypasses, role checks, permission escalations</w:t>
            </w:r>
          </w:p>
        </w:tc>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Privilege changes affect the entire security posture</w:t>
            </w:r>
          </w:p>
        </w:tc>
      </w:tr>
    </w:tbl>
    <w:p>
      <w:pPr>
        <w:spacing w:after="120"/>
      </w:pPr>
      <w:r>
        <w:t xml:space="preserve"/>
      </w:r>
    </w:p>
    <w:p>
      <w:pPr>
        <w:spacing w:after="160" w:line="300"/>
      </w:pPr>
      <w:r>
        <w:rPr>
          <w:rFonts w:ascii="Arial" w:cs="Arial" w:eastAsia="Arial" w:hAnsi="Arial"/>
          <w:color w:val="333333"/>
          <w:sz w:val="22"/>
          <w:szCs w:val="22"/>
        </w:rPr>
        <w:t xml:space="preserve">Crucially, TASS does not attempt to detect logic vulnerabilities like SQL injection or XSS—that’s SAST territory and a well-served market. TASS’s lane is behavioral: what can this code do, and did you mean for it to do that?</w:t>
      </w:r>
    </w:p>
    <w:p>
      <w:r>
        <w:r>
          <w:br w:type="page"/>
        </w:r>
      </w:r>
    </w:p>
    <w:p>
      <w:pPr>
        <w:pStyle w:val="Heading1"/>
      </w:pPr>
      <w:r>
        <w:t xml:space="preserve">4. Technical Architecture</w:t>
      </w:r>
    </w:p>
    <w:p>
      <w:pPr>
        <w:pStyle w:val="Heading2"/>
      </w:pPr>
      <w:r>
        <w:t xml:space="preserve">4.1 Three-Component Architecture</w:t>
      </w:r>
    </w:p>
    <w:p>
      <w:pPr>
        <w:spacing w:after="160" w:line="300"/>
      </w:pPr>
      <w:r>
        <w:rPr>
          <w:rFonts w:ascii="Arial" w:cs="Arial" w:eastAsia="Arial" w:hAnsi="Arial"/>
          <w:color w:val="333333"/>
          <w:sz w:val="22"/>
          <w:szCs w:val="22"/>
        </w:rPr>
        <w:t xml:space="preserve">TASS is built as three independent components connected by well-defined JSON schema contracts. This architecture supports solo development by allowing each component to be built, tested, and iterated on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3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Scanner (Agent)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Go</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On-premises AST parsing and capability extraction using Tree-sitter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Customer infrastructure</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Brain (Backend)</w:t>
            </w:r>
          </w:p>
        </w:tc>
        <w:tc>
          <w:tcPr>
            <w:tcW w:type="dxa" w:w="1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Python / FastAPI</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Baseline comparison, capability analysis, decision storage</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Cloud (initially local dev)</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UI (Frontend)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React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Verification interface for developer confirm/revert decisions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Web application</w:t>
            </w:r>
          </w:p>
        </w:tc>
      </w:tr>
    </w:tbl>
    <w:p>
      <w:pPr>
        <w:spacing w:after="120"/>
      </w:pPr>
      <w:r>
        <w:t xml:space="preserve"/>
      </w:r>
    </w:p>
    <w:p>
      <w:pPr>
        <w:pStyle w:val="Heading2"/>
      </w:pPr>
      <w:r>
        <w:t xml:space="preserve">4.2 The Scanner (Go Agent)</w:t>
      </w:r>
    </w:p>
    <w:p>
      <w:pPr>
        <w:spacing w:after="160" w:line="300"/>
      </w:pPr>
      <w:r>
        <w:rPr>
          <w:rFonts w:ascii="Arial" w:cs="Arial" w:eastAsia="Arial" w:hAnsi="Arial"/>
          <w:color w:val="333333"/>
          <w:sz w:val="22"/>
          <w:szCs w:val="22"/>
        </w:rPr>
        <w:t xml:space="preserve">The Scanner is the on-premises component that runs within the customer’s CI/CD pipeline or as a Git hook. It is written in Go for performance, portability, and easy cross-compilation to a single binary.</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AST Parsing:</w:t>
      </w:r>
      <w:r>
        <w:rPr>
          <w:rFonts w:ascii="Arial" w:cs="Arial" w:eastAsia="Arial" w:hAnsi="Arial"/>
          <w:color w:val="333333"/>
          <w:sz w:val="22"/>
          <w:szCs w:val="22"/>
        </w:rPr>
        <w:t xml:space="preserve"> Uses Tree-sitter for language-agnostic abstract syntax tree analysis. Tree-sitter grammars exist for all major languages, providing accurate structural parsing without the brittleness of regex-based approaches.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Capability Extraction:</w:t>
      </w:r>
      <w:r>
        <w:rPr>
          <w:rFonts w:ascii="Arial" w:cs="Arial" w:eastAsia="Arial" w:hAnsi="Arial"/>
          <w:color w:val="333333"/>
          <w:sz w:val="22"/>
          <w:szCs w:val="22"/>
        </w:rPr>
        <w:t xml:space="preserve"> Walks the AST looking for infrastructure-relevant patterns—function calls matching known API signatures, import statements, network-related operations, and file system access.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Output:</w:t>
      </w:r>
      <w:r>
        <w:rPr>
          <w:rFonts w:ascii="Arial" w:cs="Arial" w:eastAsia="Arial" w:hAnsi="Arial"/>
          <w:color w:val="333333"/>
          <w:sz w:val="22"/>
          <w:szCs w:val="22"/>
        </w:rPr>
        <w:t xml:space="preserve"> Produces a CapabilitySet JSON document containing all detected capabilities with file locations, confidence scores, and contextual information.</w:t>
      </w:r>
    </w:p>
    <w:p>
      <w:pPr>
        <w:spacing w:after="80"/>
      </w:pPr>
      <w:r>
        <w:t xml:space="preserve"/>
      </w:r>
    </w:p>
    <w:p>
      <w:pPr>
        <w:pStyle w:val="Heading2"/>
      </w:pPr>
      <w:r>
        <w:t xml:space="preserve">4.3 The Brain (Python Backend)</w:t>
      </w:r>
    </w:p>
    <w:p>
      <w:pPr>
        <w:spacing w:after="160" w:line="300"/>
      </w:pPr>
      <w:r>
        <w:rPr>
          <w:rFonts w:ascii="Arial" w:cs="Arial" w:eastAsia="Arial" w:hAnsi="Arial"/>
          <w:color w:val="333333"/>
          <w:sz w:val="22"/>
          <w:szCs w:val="22"/>
        </w:rPr>
        <w:t xml:space="preserve">The Brain is the intelligence layer that transforms raw capability detection into meaningful, context-aware alerts. Built with FastAPI for rapid development and automatic OpenAPI documentation.</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Baseline Engine:</w:t>
      </w:r>
      <w:r>
        <w:rPr>
          <w:rFonts w:ascii="Arial" w:cs="Arial" w:eastAsia="Arial" w:hAnsi="Arial"/>
          <w:color w:val="333333"/>
          <w:sz w:val="22"/>
          <w:szCs w:val="22"/>
        </w:rPr>
        <w:t xml:space="preserve"> Maintains a historical record of capabilities per repository. When a new CapabilitySet arrives, the Brain diffs it against the baseline to identify genuinely novel capabilities.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Novelty Detection:</w:t>
      </w:r>
      <w:r>
        <w:rPr>
          <w:rFonts w:ascii="Arial" w:cs="Arial" w:eastAsia="Arial" w:hAnsi="Arial"/>
          <w:color w:val="333333"/>
          <w:sz w:val="22"/>
          <w:szCs w:val="22"/>
        </w:rPr>
        <w:t xml:space="preserve"> Determines whether a detected capability is new to this repository, changed from its previous form, or a known pattern that doesn’t require verification.</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Decision Storage:</w:t>
      </w:r>
      <w:r>
        <w:rPr>
          <w:rFonts w:ascii="Arial" w:cs="Arial" w:eastAsia="Arial" w:hAnsi="Arial"/>
          <w:color w:val="333333"/>
          <w:sz w:val="22"/>
          <w:szCs w:val="22"/>
        </w:rPr>
        <w:t xml:space="preserve"> Records VerificationReceipts and updates baselines accordingly. Confirmed capabilities become part of the baseline; reverted capabilities are flagged for tracking.</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Database:</w:t>
      </w:r>
      <w:r>
        <w:rPr>
          <w:rFonts w:ascii="Arial" w:cs="Arial" w:eastAsia="Arial" w:hAnsi="Arial"/>
          <w:color w:val="333333"/>
          <w:sz w:val="22"/>
          <w:szCs w:val="22"/>
        </w:rPr>
        <w:t xml:space="preserve"> SQLite for local development, with a migration path to PostgreSQL for production deployment.</w:t>
      </w:r>
    </w:p>
    <w:p>
      <w:pPr>
        <w:spacing w:after="80"/>
      </w:pPr>
      <w:r>
        <w:t xml:space="preserve"/>
      </w:r>
    </w:p>
    <w:p>
      <w:pPr>
        <w:pStyle w:val="Heading2"/>
      </w:pPr>
      <w:r>
        <w:t xml:space="preserve">4.4 The UI (React Frontend)</w:t>
      </w:r>
    </w:p>
    <w:p>
      <w:pPr>
        <w:spacing w:after="160" w:line="300"/>
      </w:pPr>
      <w:r>
        <w:rPr>
          <w:rFonts w:ascii="Arial" w:cs="Arial" w:eastAsia="Arial" w:hAnsi="Arial"/>
          <w:color w:val="333333"/>
          <w:sz w:val="22"/>
          <w:szCs w:val="22"/>
        </w:rPr>
        <w:t xml:space="preserve">The UI is deliberately minimal. Its job is to present novel capabilities clearly and capture binary decisions with minimal friction.</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Verification Cards:</w:t>
      </w:r>
      <w:r>
        <w:rPr>
          <w:rFonts w:ascii="Arial" w:cs="Arial" w:eastAsia="Arial" w:hAnsi="Arial"/>
          <w:color w:val="333333"/>
          <w:sz w:val="22"/>
          <w:szCs w:val="22"/>
        </w:rPr>
        <w:t xml:space="preserve"> Each novel capability is displayed as a card showing what was detected, where in the code it was found, and whether this type of capability has been seen before in the repo.</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Confirm / Revert Flow:</w:t>
      </w:r>
      <w:r>
        <w:rPr>
          <w:rFonts w:ascii="Arial" w:cs="Arial" w:eastAsia="Arial" w:hAnsi="Arial"/>
          <w:color w:val="333333"/>
          <w:sz w:val="22"/>
          <w:szCs w:val="22"/>
        </w:rPr>
        <w:t xml:space="preserve"> One-click decisions with optional justification text. The justification field serves as a lightweight decision record.</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Exception Dashboard:</w:t>
      </w:r>
      <w:r>
        <w:rPr>
          <w:rFonts w:ascii="Arial" w:cs="Arial" w:eastAsia="Arial" w:hAnsi="Arial"/>
          <w:color w:val="333333"/>
          <w:sz w:val="22"/>
          <w:szCs w:val="22"/>
        </w:rPr>
        <w:t xml:space="preserve"> Aggregated view of all exceptions (confirmed novel capabilities) per developer, per repo, over time. Helps identify patterns of “click-through” behavior.</w:t>
      </w:r>
    </w:p>
    <w:p>
      <w:pPr>
        <w:spacing w:after="80"/>
      </w:pPr>
      <w:r>
        <w:t xml:space="preserve"/>
      </w:r>
    </w:p>
    <w:p>
      <w:pPr>
        <w:pStyle w:val="Heading2"/>
      </w:pPr>
      <w:r>
        <w:t xml:space="preserve">4.5 Development Approach</w:t>
      </w:r>
    </w:p>
    <w:p>
      <w:pPr>
        <w:spacing w:after="160" w:line="300"/>
      </w:pPr>
      <w:r>
        <w:rPr>
          <w:rFonts w:ascii="Arial" w:cs="Arial" w:eastAsia="Arial" w:hAnsi="Arial"/>
          <w:color w:val="333333"/>
          <w:sz w:val="22"/>
          <w:szCs w:val="22"/>
        </w:rPr>
        <w:t xml:space="preserve">As a solo-developer project, the technical approach prioritizes end-to-end integration over feature depth. The development methodology follows a “Walking Skeleton” pattern: building the thinnest possible slice through all three components before adding depth to any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0F8"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Walking Skeleton Principle</w:t>
            </w:r>
          </w:p>
          <w:p>
            <w:pPr>
              <w:spacing w:after="0" w:line="280"/>
            </w:pPr>
            <w:r>
              <w:rPr>
                <w:rFonts w:ascii="Arial" w:cs="Arial" w:eastAsia="Arial" w:hAnsi="Arial"/>
                <w:color w:val="333333"/>
                <w:sz w:val="20"/>
                <w:szCs w:val="20"/>
              </w:rPr>
              <w:t xml:space="preserve">Get a PR scan → baseline check → verification prompt working end-to-end with minimal features first. Depth (multi-language support, advanced detection, rich UI) comes after the skeleton walks.</w:t>
            </w:r>
          </w:p>
        </w:tc>
      </w:tr>
    </w:tbl>
    <w:p>
      <w:pPr>
        <w:spacing w:after="80"/>
      </w:pPr>
      <w:r>
        <w:t xml:space="preserve"/>
      </w:r>
    </w:p>
    <w:p>
      <w:pPr>
        <w:spacing w:after="160" w:line="300"/>
      </w:pPr>
      <w:r>
        <w:rPr>
          <w:rFonts w:ascii="Arial" w:cs="Arial" w:eastAsia="Arial" w:hAnsi="Arial"/>
          <w:color w:val="333333"/>
          <w:sz w:val="22"/>
          <w:szCs w:val="22"/>
        </w:rPr>
        <w:t xml:space="preserve">Work is organized into 2–4 hour implementation sessions, with each session producing a testable increment. This cadence is designed to maintain momentum and avoid the stalling that often kills solo projects.</w:t>
      </w:r>
    </w:p>
    <w:p>
      <w:r>
        <w:r>
          <w:br w:type="page"/>
        </w:r>
      </w:r>
    </w:p>
    <w:p>
      <w:pPr>
        <w:pStyle w:val="Heading1"/>
      </w:pPr>
      <w:r>
        <w:t xml:space="preserve">5. Market Opportunity &amp; Business Model</w:t>
      </w:r>
    </w:p>
    <w:p>
      <w:pPr>
        <w:pStyle w:val="Heading2"/>
      </w:pPr>
      <w:r>
        <w:t xml:space="preserve">5.1 Market Context</w:t>
      </w:r>
    </w:p>
    <w:p>
      <w:pPr>
        <w:spacing w:after="160" w:line="300"/>
      </w:pPr>
      <w:r>
        <w:rPr>
          <w:rFonts w:ascii="Arial" w:cs="Arial" w:eastAsia="Arial" w:hAnsi="Arial"/>
          <w:color w:val="333333"/>
          <w:sz w:val="22"/>
          <w:szCs w:val="22"/>
        </w:rPr>
        <w:t xml:space="preserve">The AI code generation market is experiencing explosive growth. With over 30 million developers now using AI-assisted coding tools, the volume of machine-generated code entering production systems is increasing faster than security practices can adapt. This creates a widening gap between code production velocity and code review quality—the exact gap TASS is designed to fill.</w:t>
      </w:r>
    </w:p>
    <w:p>
      <w:pPr>
        <w:pStyle w:val="Heading2"/>
      </w:pPr>
      <w:r>
        <w:t xml:space="preserve">5.2 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19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Buyer</w:t>
            </w:r>
          </w:p>
        </w:tc>
        <w:tc>
          <w:tcPr>
            <w:tcW w:type="dxa" w:w="1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Sales Cycle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Post-incident companies (fintech, healthcare, SaaS)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Recent breach, failed audit, near-miss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CISO or VP Engineering</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3–6 months</w:t>
            </w:r>
          </w:p>
        </w:tc>
      </w:tr>
      <w:tr>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Fast-growing startups using AI code gen</w:t>
            </w:r>
          </w:p>
        </w:tc>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First security hire, SOC2 needed, Series B</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Tech founder or first security engineer</w:t>
            </w:r>
          </w:p>
        </w:tc>
        <w:tc>
          <w:tcPr>
            <w:tcW w:type="dxa" w:w="1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1–2 months</w:t>
            </w:r>
          </w:p>
        </w:tc>
      </w:tr>
    </w:tbl>
    <w:p>
      <w:pPr>
        <w:spacing w:after="120"/>
      </w:pPr>
      <w:r>
        <w:t xml:space="preserve"/>
      </w:r>
    </w:p>
    <w:p>
      <w:pPr>
        <w:spacing w:after="160" w:line="300"/>
      </w:pPr>
      <w:r>
        <w:rPr>
          <w:rFonts w:ascii="Arial" w:cs="Arial" w:eastAsia="Arial" w:hAnsi="Arial"/>
          <w:color w:val="333333"/>
          <w:sz w:val="22"/>
          <w:szCs w:val="22"/>
        </w:rPr>
        <w:t xml:space="preserve">The primary segment (post-incident companies) has the strongest pain point and highest willingness to pay. The secondary segment (fast-growing startups) has a shorter sales cycle and aligns well with self-serve adoption—a critical factor for a solo-founder go-to-market strategy.</w:t>
      </w:r>
    </w:p>
    <w:p>
      <w:pPr>
        <w:pStyle w:val="Heading2"/>
      </w:pPr>
      <w:r>
        <w:t xml:space="preserve">5.3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Potential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Phase 1 (PR Tool)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100K paying developers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$50/dev/month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$60M ARR</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Phase 2+ (Platform)</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Enterprise expansion</w:t>
            </w:r>
          </w:p>
        </w:tc>
        <w:tc>
          <w:tcPr>
            <w:tcW w:type="dxa" w:w="21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Usage + seat-based</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$200M ARR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Implied valuation at maturity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$1–2B company</w:t>
            </w:r>
          </w:p>
        </w:tc>
      </w:tr>
    </w:tbl>
    <w:p>
      <w:pPr>
        <w:spacing w:after="120"/>
      </w:pPr>
      <w:r>
        <w:t xml:space="preserve"/>
      </w:r>
    </w:p>
    <w:p>
      <w:pPr>
        <w:pStyle w:val="Heading2"/>
      </w:pPr>
      <w:r>
        <w:t xml:space="preserve">5.4 Go-to-Market Strategy</w:t>
      </w:r>
    </w:p>
    <w:p>
      <w:pPr>
        <w:spacing w:after="160" w:line="300"/>
      </w:pPr>
      <w:r>
        <w:rPr>
          <w:rFonts w:ascii="Arial" w:cs="Arial" w:eastAsia="Arial" w:hAnsi="Arial"/>
          <w:color w:val="333333"/>
          <w:sz w:val="22"/>
          <w:szCs w:val="22"/>
        </w:rPr>
        <w:t xml:space="preserve">The GTM strategy is designed for a solo founder with limited resources, emphasizing self-serve adoption and developer-first distribution:</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Self-Serve Install.</w:t>
      </w:r>
      <w:r>
        <w:rPr>
          <w:rFonts w:ascii="Arial" w:cs="Arial" w:eastAsia="Arial" w:hAnsi="Arial"/>
          <w:color w:val="333333"/>
          <w:sz w:val="22"/>
          <w:szCs w:val="22"/>
        </w:rPr>
        <w:t xml:space="preserve"> Developers install TASS directly into their CI/CD pipeline. No procurement process, no CISO sign-off required for initial adoption. This mirrors the successful bottom-up adoption paths of tools like Snyk and Dependabot.</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Developer-First Positioning.</w:t>
      </w:r>
      <w:r>
        <w:rPr>
          <w:rFonts w:ascii="Arial" w:cs="Arial" w:eastAsia="Arial" w:hAnsi="Arial"/>
          <w:color w:val="333333"/>
          <w:sz w:val="22"/>
          <w:szCs w:val="22"/>
        </w:rPr>
        <w:t xml:space="preserve"> TASS is positioned as a developer productivity tool that happens to improve security—not as a security compliance tool that happens to be developer-friendly. This matters for adoption velocity.</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Organic Expansion.</w:t>
      </w:r>
      <w:r>
        <w:rPr>
          <w:rFonts w:ascii="Arial" w:cs="Arial" w:eastAsia="Arial" w:hAnsi="Arial"/>
          <w:color w:val="333333"/>
          <w:sz w:val="22"/>
          <w:szCs w:val="22"/>
        </w:rPr>
        <w:t xml:space="preserve"> As individual developers adopt TASS, team-wide and org-wide visibility features (the Exception Dashboard, capability graphs) create natural expansion triggers.</w:t>
      </w:r>
    </w:p>
    <w:p>
      <w:pPr>
        <w:spacing w:after="80"/>
      </w:pPr>
      <w:r>
        <w:t xml:space="preserve"/>
      </w:r>
    </w:p>
    <w:p>
      <w:pPr>
        <w:pStyle w:val="Heading2"/>
      </w:pPr>
      <w:r>
        <w:t xml:space="preserve">5.5 Business Model</w:t>
      </w:r>
    </w:p>
    <w:p>
      <w:pPr>
        <w:spacing w:after="160" w:line="300"/>
      </w:pPr>
      <w:r>
        <w:rPr>
          <w:rFonts w:ascii="Arial" w:cs="Arial" w:eastAsia="Arial" w:hAnsi="Arial"/>
          <w:color w:val="333333"/>
          <w:sz w:val="22"/>
          <w:szCs w:val="22"/>
        </w:rPr>
        <w:t xml:space="preserve">Phase 1 targets $500K ARR within 12 months from approximately 1,000 paying developers at $50/dev/month. The model emphasizes low customer acquisition cost (under $1K through self-serve) and high lifetime value ($100K+ as teams expand).</w:t>
      </w:r>
    </w:p>
    <w:p>
      <w:pPr>
        <w:spacing w:after="160" w:line="300"/>
      </w:pPr>
      <w:r>
        <w:rPr>
          <w:rFonts w:ascii="Arial" w:cs="Arial" w:eastAsia="Arial" w:hAnsi="Arial"/>
          <w:color w:val="333333"/>
          <w:sz w:val="22"/>
          <w:szCs w:val="22"/>
        </w:rPr>
        <w:t xml:space="preserve">Net revenue retention is projected at 120%+, driven by seat expansion within organizations and the natural stickiness of baseline data (switching costs increase as the system accumulates historical context for a repository).</w:t>
      </w:r>
    </w:p>
    <w:p>
      <w:r>
        <w:r>
          <w:br w:type="page"/>
        </w:r>
      </w:r>
    </w:p>
    <w:p>
      <w:pPr>
        <w:pStyle w:val="Heading1"/>
      </w:pPr>
      <w:r>
        <w:t xml:space="preserve">6. Roadmap &amp; Phased Strategy</w:t>
      </w:r>
    </w:p>
    <w:p>
      <w:pPr>
        <w:spacing w:after="160" w:line="300"/>
      </w:pPr>
      <w:r>
        <w:rPr>
          <w:rFonts w:ascii="Arial" w:cs="Arial" w:eastAsia="Arial" w:hAnsi="Arial"/>
          <w:color w:val="333333"/>
          <w:sz w:val="22"/>
          <w:szCs w:val="22"/>
        </w:rPr>
        <w:t xml:space="preserve">The roadmap is designed as a progressive expansion from a focused developer tool to a platform play, with each phase building on the assets created in the previous one.</w:t>
      </w:r>
    </w:p>
    <w:p>
      <w:pPr>
        <w:pStyle w:val="Heading2"/>
      </w:pPr>
      <w:r>
        <w:t xml:space="preserve">6.1 Phase 1: PR Tool (Months 1–12)</w:t>
      </w:r>
    </w:p>
    <w:p>
      <w:pPr>
        <w:spacing w:after="160" w:line="300"/>
      </w:pPr>
      <w:r>
        <w:rPr>
          <w:rFonts w:ascii="Arial" w:cs="Arial" w:eastAsia="Arial" w:hAnsi="Arial"/>
          <w:color w:val="333333"/>
          <w:sz w:val="22"/>
          <w:szCs w:val="22"/>
        </w:rPr>
        <w:t xml:space="preserve">The foundation phase. Build the core capability detection and verification loop as a PR-integrated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Capability Detection Engine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Tree-sitter-based AST parsing for Python, Go, JavaScript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Critical</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Baseline Memory System</w:t>
            </w:r>
          </w:p>
        </w:tc>
        <w:tc>
          <w:tcPr>
            <w:tcW w:type="dxa" w:w="4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Historical capability tracking per repository</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Critical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Verification UI</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Confirm/Revert interface integrated into PR workflow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Critical</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Exception Workflow</w:t>
            </w:r>
          </w:p>
        </w:tc>
        <w:tc>
          <w:tcPr>
            <w:tcW w:type="dxa" w:w="4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Justification capture, exception logging, audit trail</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Capability Manifest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Signed, timestamped Behavioral SBOM per build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r>
    </w:tbl>
    <w:p>
      <w:pPr>
        <w:spacing w:after="80"/>
      </w:pPr>
      <w:r>
        <w:t xml:space="preserve"/>
      </w:r>
    </w:p>
    <w:p>
      <w:pPr>
        <w:spacing w:after="160" w:line="300"/>
      </w:pPr>
      <w:r>
        <w:rPr>
          <w:rFonts w:ascii="Arial" w:cs="Arial" w:eastAsia="Arial" w:hAnsi="Arial"/>
          <w:color w:val="333333"/>
          <w:sz w:val="22"/>
          <w:szCs w:val="22"/>
        </w:rPr>
        <w:t xml:space="preserve"/>
      </w:r>
      <w:r>
        <w:rPr>
          <w:rFonts w:ascii="Arial" w:cs="Arial" w:eastAsia="Arial" w:hAnsi="Arial"/>
          <w:b/>
          <w:bCs/>
          <w:sz w:val="22"/>
          <w:szCs w:val="22"/>
        </w:rPr>
        <w:t xml:space="preserve">Phase 1 Goal:</w:t>
      </w:r>
      <w:r>
        <w:rPr>
          <w:rFonts w:ascii="Arial" w:cs="Arial" w:eastAsia="Arial" w:hAnsi="Arial"/>
          <w:color w:val="333333"/>
          <w:sz w:val="22"/>
          <w:szCs w:val="22"/>
        </w:rPr>
        <w:t xml:space="preserve"> 1,000 paying developers, $500K ARR. Validate the core hypothesis that developers will engage with capability verification rather than clicking through it.</w:t>
      </w:r>
    </w:p>
    <w:p>
      <w:pPr>
        <w:spacing w:after="80"/>
      </w:pPr>
      <w:r>
        <w:t xml:space="preserve"/>
      </w:r>
    </w:p>
    <w:p>
      <w:pPr>
        <w:pStyle w:val="Heading2"/>
      </w:pPr>
      <w:r>
        <w:t xml:space="preserve">6.2 Phase 2: Policy Generator (Months 12–24)</w:t>
      </w:r>
    </w:p>
    <w:p>
      <w:pPr>
        <w:spacing w:after="160" w:line="300"/>
      </w:pPr>
      <w:r>
        <w:rPr>
          <w:rFonts w:ascii="Arial" w:cs="Arial" w:eastAsia="Arial" w:hAnsi="Arial"/>
          <w:color w:val="333333"/>
          <w:sz w:val="22"/>
          <w:szCs w:val="22"/>
        </w:rPr>
        <w:t xml:space="preserve">Transform detected capabilities into actionable infrastructure policies. This is the phase where TASS moves from “detection” to “automated remediation.”</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Kubernetes NetworkPolicy Generation:</w:t>
      </w:r>
      <w:r>
        <w:rPr>
          <w:rFonts w:ascii="Arial" w:cs="Arial" w:eastAsia="Arial" w:hAnsi="Arial"/>
          <w:color w:val="333333"/>
          <w:sz w:val="22"/>
          <w:szCs w:val="22"/>
        </w:rPr>
        <w:t xml:space="preserve"> Automatically generate network policies that restrict pod communication to only the APIs and services detected by TASS.</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AWS IAM Policy Generation:</w:t>
      </w:r>
      <w:r>
        <w:rPr>
          <w:rFonts w:ascii="Arial" w:cs="Arial" w:eastAsia="Arial" w:hAnsi="Arial"/>
          <w:color w:val="333333"/>
          <w:sz w:val="22"/>
          <w:szCs w:val="22"/>
        </w:rPr>
        <w:t xml:space="preserve"> Generate least-privilege IAM policies based on detected AWS SDK calls—if the code only calls S3 GetObject, the policy only allows S3 GetObject.</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Target:</w:t>
      </w:r>
      <w:r>
        <w:rPr>
          <w:rFonts w:ascii="Arial" w:cs="Arial" w:eastAsia="Arial" w:hAnsi="Arial"/>
          <w:color w:val="333333"/>
          <w:sz w:val="22"/>
          <w:szCs w:val="22"/>
        </w:rPr>
        <w:t xml:space="preserve"> 100 customers (team/org licenses), $2M ARR.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The 3-Sentence Pitch for Phase 2</w:t>
            </w:r>
          </w:p>
          <w:p>
            <w:pPr>
              <w:spacing w:after="0" w:line="280"/>
            </w:pPr>
            <w:r>
              <w:rPr>
                <w:rFonts w:ascii="Arial" w:cs="Arial" w:eastAsia="Arial" w:hAnsi="Arial"/>
                <w:color w:val="333333"/>
                <w:sz w:val="20"/>
                <w:szCs w:val="20"/>
              </w:rPr>
              <w:t xml:space="preserve">“Your code calls Stripe. TASS generates the Kubernetes NetworkPolicy and IAM policy that allows ONLY Stripe access. Least privilege, automatically.”</w:t>
            </w:r>
          </w:p>
        </w:tc>
      </w:tr>
    </w:tbl>
    <w:p>
      <w:pPr>
        <w:spacing w:after="120"/>
      </w:pPr>
      <w:r>
        <w:t xml:space="preserve"/>
      </w:r>
    </w:p>
    <w:p>
      <w:pPr>
        <w:pStyle w:val="Heading2"/>
      </w:pPr>
      <w:r>
        <w:t xml:space="preserve">6.3 Phase 3: Capability Graph (Months 24–36)</w:t>
      </w:r>
    </w:p>
    <w:p>
      <w:pPr>
        <w:spacing w:after="160" w:line="300"/>
      </w:pPr>
      <w:r>
        <w:rPr>
          <w:rFonts w:ascii="Arial" w:cs="Arial" w:eastAsia="Arial" w:hAnsi="Arial"/>
          <w:color w:val="333333"/>
          <w:sz w:val="22"/>
          <w:szCs w:val="22"/>
        </w:rPr>
        <w:t xml:space="preserve">Introduce cross-customer intelligence—the network-effect moat. Anonymized, aggregated capability data from all TASS customers creates a behavioral intelligence layer.</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Anomaly Detection:</w:t>
      </w:r>
      <w:r>
        <w:rPr>
          <w:rFonts w:ascii="Arial" w:cs="Arial" w:eastAsia="Arial" w:hAnsi="Arial"/>
          <w:color w:val="333333"/>
          <w:sz w:val="22"/>
          <w:szCs w:val="22"/>
        </w:rPr>
        <w:t xml:space="preserve"> “This capability pattern has never been seen across any TASS customer” becomes a powerful signal.</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Risk Scoring:</w:t>
      </w:r>
      <w:r>
        <w:rPr>
          <w:rFonts w:ascii="Arial" w:cs="Arial" w:eastAsia="Arial" w:hAnsi="Arial"/>
          <w:color w:val="333333"/>
          <w:sz w:val="22"/>
          <w:szCs w:val="22"/>
        </w:rPr>
        <w:t xml:space="preserve"> Capabilities can be scored based on prevalence, context, and historical outcomes across the entire TASS network.</w:t>
      </w:r>
    </w:p>
    <w:p>
      <w:pPr>
        <w:pStyle w:val="ListParagraph"/>
        <w:numPr>
          <w:ilvl w:val="0"/>
          <w:numId w:val="3"/>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Target:</w:t>
      </w:r>
      <w:r>
        <w:rPr>
          <w:rFonts w:ascii="Arial" w:cs="Arial" w:eastAsia="Arial" w:hAnsi="Arial"/>
          <w:color w:val="333333"/>
          <w:sz w:val="22"/>
          <w:szCs w:val="22"/>
        </w:rPr>
        <w:t xml:space="preserve"> 50 enterprise customers, $10M ARR.</w:t>
      </w:r>
    </w:p>
    <w:p>
      <w:pPr>
        <w:spacing w:after="80"/>
      </w:pPr>
      <w:r>
        <w:t xml:space="preserve"/>
      </w:r>
    </w:p>
    <w:p>
      <w:pPr>
        <w:pStyle w:val="Heading2"/>
      </w:pPr>
      <w:r>
        <w:t xml:space="preserve">6.4 Phase 4: Platform (Years 3–5)</w:t>
      </w:r>
    </w:p>
    <w:p>
      <w:pPr>
        <w:spacing w:after="160" w:line="300"/>
      </w:pPr>
      <w:r>
        <w:rPr>
          <w:rFonts w:ascii="Arial" w:cs="Arial" w:eastAsia="Arial" w:hAnsi="Arial"/>
          <w:color w:val="333333"/>
          <w:sz w:val="22"/>
          <w:szCs w:val="22"/>
        </w:rPr>
        <w:t xml:space="preserve">Evolve from a standalone tool into a platform through strategic partnerships. TASS provides the capability intelligence layer; partners provide adjacent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 Type</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Partners</w:t>
            </w:r>
          </w:p>
        </w:tc>
        <w:tc>
          <w:tcPr>
            <w:tcW w:type="dxa" w:w="4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Runtime Monitoring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Wiz, Lacework</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TASS capabilities → runtime behavior correlation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Vulnerability Data</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Snyk</w:t>
            </w:r>
          </w:p>
        </w:tc>
        <w:tc>
          <w:tcPr>
            <w:tcW w:type="dxa" w:w="4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TASS behavioral context enriches vulnerability findings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Cloud Security Posture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Various CSPM tools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TASS policy generation feeds into posture management</w:t>
            </w:r>
          </w:p>
        </w:tc>
      </w:tr>
    </w:tbl>
    <w:p>
      <w:pPr>
        <w:spacing w:after="80"/>
      </w:pPr>
      <w:r>
        <w:t xml:space="preserve"/>
      </w:r>
    </w:p>
    <w:p>
      <w:pPr>
        <w:spacing w:after="160" w:line="300"/>
      </w:pPr>
      <w:r>
        <w:rPr>
          <w:rFonts w:ascii="Arial" w:cs="Arial" w:eastAsia="Arial" w:hAnsi="Arial"/>
          <w:color w:val="333333"/>
          <w:sz w:val="22"/>
          <w:szCs w:val="22"/>
        </w:rPr>
        <w:t xml:space="preserve">The critical discipline in Phase 4 is knowing what not to build. TASS should never build its own runtime monitoring—that’s a competitive graveyard. The platform value comes from being the authoritative source of “what code can do” and letting partners handle “what code is doing.”</w:t>
      </w:r>
    </w:p>
    <w:p>
      <w:r>
        <w:r>
          <w:br w:type="page"/>
        </w:r>
      </w:r>
    </w:p>
    <w:p>
      <w:pPr>
        <w:pStyle w:val="Heading1"/>
      </w:pPr>
      <w:r>
        <w:t xml:space="preserve">7. Key Metrics &amp; Success Criteria</w:t>
      </w:r>
    </w:p>
    <w:p>
      <w:pPr>
        <w:pStyle w:val="Heading2"/>
      </w:pPr>
      <w:r>
        <w:t xml:space="preserve">7.1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North Star: Unsafe Capabilities Reverted</w:t>
            </w:r>
          </w:p>
          <w:p>
            <w:pPr>
              <w:spacing w:after="0" w:line="280"/>
            </w:pPr>
            <w:r>
              <w:rPr>
                <w:rFonts w:ascii="Arial" w:cs="Arial" w:eastAsia="Arial" w:hAnsi="Arial"/>
                <w:color w:val="333333"/>
                <w:sz w:val="20"/>
                <w:szCs w:val="20"/>
              </w:rPr>
              <w:t xml:space="preserve">The number of capabilities that developers chose to revert after TASS flagged them, measured per customer per quarter. This directly measures the security value TASS delivers—capabilities that would have shipped to production without human review.</w:t>
            </w:r>
          </w:p>
        </w:tc>
      </w:tr>
    </w:tbl>
    <w:p>
      <w:pPr>
        <w:spacing w:after="120"/>
      </w:pPr>
      <w:r>
        <w:t xml:space="preserve"/>
      </w:r>
    </w:p>
    <w:p>
      <w:pPr>
        <w:pStyle w:val="Heading2"/>
      </w:pPr>
      <w:r>
        <w:t xml:space="preserve">7.2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Time to first detection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&lt; 30 seconds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Developer experience—slow scans kill adoption</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Baseline accuracy</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&gt; 95%</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If the baseline is wrong, every downstream signal is wrong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False positive rate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&lt; 10%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Above 20%, developers ignore the tool entirely</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Developer NPS</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40+</w:t>
            </w:r>
          </w:p>
        </w:tc>
        <w:tc>
          <w:tcPr>
            <w:tcW w:type="dxa" w:w="4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Proxy for “will this tool survive first contact with real developers”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Override rate per developer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&lt; 50%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Above 50%, the tool has become a rubber stamp itself</w:t>
            </w:r>
          </w:p>
        </w:tc>
      </w:tr>
    </w:tbl>
    <w:p>
      <w:pPr>
        <w:spacing w:after="120"/>
      </w:pPr>
      <w:r>
        <w:t xml:space="preserve"/>
      </w:r>
    </w:p>
    <w:p>
      <w:pPr>
        <w:pStyle w:val="Heading2"/>
      </w:pPr>
      <w:r>
        <w:t xml:space="preserve">7.3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Target</w:t>
            </w:r>
          </w:p>
        </w:tc>
        <w:tc>
          <w:tcPr>
            <w:tcW w:type="dxa" w:w="3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MRR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$100K by Month 12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~1,000 devs at $50/mo + some team licenses</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Customer Acquisition Cost</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&lt; $1,000</w:t>
            </w:r>
          </w:p>
        </w:tc>
        <w:tc>
          <w:tcPr>
            <w:tcW w:type="dxa" w:w="3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Self-serve GTM keeps CAC low</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Lifetime Value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$100K+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Driven by seat expansion within orgs</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Net Revenue Retention</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120%+</w:t>
            </w:r>
          </w:p>
        </w:tc>
        <w:tc>
          <w:tcPr>
            <w:tcW w:type="dxa" w:w="3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Expansion from individual → team → org</w:t>
            </w:r>
          </w:p>
        </w:tc>
      </w:tr>
    </w:tbl>
    <w:p>
      <w:pPr>
        <w:spacing w:after="120"/>
      </w:pPr>
      <w:r>
        <w:t xml:space="preserve"/>
      </w:r>
    </w:p>
    <w:p>
      <w:pPr>
        <w:pStyle w:val="Heading1"/>
      </w:pPr>
      <w:r>
        <w:t xml:space="preserve">8. Competitive Moat &amp; Defensibility</w:t>
      </w:r>
    </w:p>
    <w:p>
      <w:pPr>
        <w:spacing w:after="160" w:line="300"/>
      </w:pPr>
      <w:r>
        <w:rPr>
          <w:rFonts w:ascii="Arial" w:cs="Arial" w:eastAsia="Arial" w:hAnsi="Arial"/>
          <w:color w:val="333333"/>
          <w:sz w:val="22"/>
          <w:szCs w:val="22"/>
        </w:rPr>
        <w:t xml:space="preserve">TASS’s defensibility is built on three layers, each reinforcing the others:</w:t>
      </w:r>
    </w:p>
    <w:p>
      <w:pPr>
        <w:pStyle w:val="Heading2"/>
      </w:pPr>
      <w:r>
        <w:t xml:space="preserve">8.1 Baseline Memory Engine</w:t>
      </w:r>
    </w:p>
    <w:p>
      <w:pPr>
        <w:spacing w:after="160" w:line="300"/>
      </w:pPr>
      <w:r>
        <w:rPr>
          <w:rFonts w:ascii="Arial" w:cs="Arial" w:eastAsia="Arial" w:hAnsi="Arial"/>
          <w:color w:val="333333"/>
          <w:sz w:val="22"/>
          <w:szCs w:val="22"/>
        </w:rPr>
        <w:t xml:space="preserve">The accumulated historical context for each repository creates natural switching costs. The longer TASS monitors a codebase, the more accurate its baseline becomes, and the more painful it is to switch to a competitor that would need to rebuild that context from scratch.</w:t>
      </w:r>
    </w:p>
    <w:p>
      <w:pPr>
        <w:pStyle w:val="Heading2"/>
      </w:pPr>
      <w:r>
        <w:t xml:space="preserve">8.2 Capability Manifest (Behavioral SBOM)</w:t>
      </w:r>
    </w:p>
    <w:p>
      <w:pPr>
        <w:spacing w:after="160" w:line="300"/>
      </w:pPr>
      <w:r>
        <w:rPr>
          <w:rFonts w:ascii="Arial" w:cs="Arial" w:eastAsia="Arial" w:hAnsi="Arial"/>
          <w:color w:val="333333"/>
          <w:sz w:val="22"/>
          <w:szCs w:val="22"/>
        </w:rPr>
        <w:t xml:space="preserve">The Capability Manifest is a signed, timestamped record of what a given build of code can do—a “Behavioral Software Bill of Materials.” If TASS can establish this as an industry standard (analogous to SPDX or CycloneDX for dependencies), it becomes the de facto authority on code behavior documentation. This is the highest-value IP asset in the system.</w:t>
      </w:r>
    </w:p>
    <w:p>
      <w:pPr>
        <w:pStyle w:val="Heading2"/>
      </w:pPr>
      <w:r>
        <w:t xml:space="preserve">8.3 Cross-Customer Capability Graph (Phase 3+)</w:t>
      </w:r>
    </w:p>
    <w:p>
      <w:pPr>
        <w:spacing w:after="160" w:line="300"/>
      </w:pPr>
      <w:r>
        <w:rPr>
          <w:rFonts w:ascii="Arial" w:cs="Arial" w:eastAsia="Arial" w:hAnsi="Arial"/>
          <w:color w:val="333333"/>
          <w:sz w:val="22"/>
          <w:szCs w:val="22"/>
        </w:rPr>
        <w:t xml:space="preserve">The network-effect moat. Anonymized capability data from all TASS customers creates a behavioral intelligence layer that individual customers cannot replicate on their own. Similar to how Snyk’s vulnerability database improves with every customer, TASS’s capability graph becomes more valuable with scale. Each new customer improves the graph for every existing customer.</w:t>
      </w:r>
    </w:p>
    <w:p>
      <w:r>
        <w:r>
          <w:br w:type="page"/>
        </w:r>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Baseline accuracy below 95%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Critical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Run validation test on 5 diverse repos before building. If FP rate &gt; 20%, pivot required.</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“Accept Risk” spam (developers clicking through everything)</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c>
          <w:tcPr>
            <w:tcW w:type="dxa" w:w="5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Track override rates per dev, require justification (min 10 chars), escalate if &gt; 50% override rate.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Capability detection quality across languages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High</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Start with 3 languages (Python, Go, JS). Expand only after accuracy is proven. Use Tree-sitter for consistency.</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Disagreement fatigue</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Flag only HIGH-signal items. Quality over quantity. Baseline accuracy is the primary lever here.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Solo developer execution risk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Medium</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Walking Skeleton approach, 2–4 hour work sessions, strong contracts between components to avoid integration debt.</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Market timing (too early or too late)</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Low</w:t>
            </w:r>
          </w:p>
        </w:tc>
        <w:tc>
          <w:tcPr>
            <w:tcW w:type="dxa" w:w="5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AI code gen adoption is accelerating now. The window is open. Speed matters more than perfection.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FFF3E6"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The Critical Go/No-Go Test</w:t>
            </w:r>
          </w:p>
          <w:p>
            <w:pPr>
              <w:spacing w:after="0" w:line="280"/>
            </w:pPr>
            <w:r>
              <w:rPr>
                <w:rFonts w:ascii="Arial" w:cs="Arial" w:eastAsia="Arial" w:hAnsi="Arial"/>
                <w:color w:val="333333"/>
                <w:sz w:val="20"/>
                <w:szCs w:val="20"/>
              </w:rPr>
              <w:t xml:space="preserve">Before committing to a full build: run the baseline builder on 5 diverse repos (Python API, Go microservice, React app, Rails monolith, Rust CLI). If the false positive rate is below 10%, TASS has a company. If it’s above 20%, don’t build this.</w:t>
            </w:r>
          </w:p>
        </w:tc>
      </w:tr>
    </w:tbl>
    <w:p>
      <w:pPr>
        <w:spacing w:after="120"/>
      </w:pPr>
      <w:r>
        <w:t xml:space="preserve"/>
      </w:r>
    </w:p>
    <w:p>
      <w:pPr>
        <w:pStyle w:val="Heading1"/>
      </w:pPr>
      <w:r>
        <w:t xml:space="preserve">10. Scope Boundaries</w:t>
      </w:r>
    </w:p>
    <w:p>
      <w:pPr>
        <w:spacing w:after="160" w:line="300"/>
      </w:pPr>
      <w:r>
        <w:rPr>
          <w:rFonts w:ascii="Arial" w:cs="Arial" w:eastAsia="Arial" w:hAnsi="Arial"/>
          <w:color w:val="333333"/>
          <w:sz w:val="22"/>
          <w:szCs w:val="22"/>
        </w:rPr>
        <w:t xml:space="preserve">Equally important as knowing what to build is knowing what not to build. The following are explicit scope exclusions to prevent the feature creep that kills solo-developer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Don’t Build</w:t>
            </w:r>
          </w:p>
        </w:tc>
        <w:tc>
          <w:tcPr>
            <w:tcW w:type="dxa" w:w="3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c>
          <w:tcPr>
            <w:tcW w:type="dxa" w:w="3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Runtime monitoring</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Competitive graveyard (Wiz, Lacework)</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Partner integration in Phase 4</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AI agent pre-flight constraints</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Market not ready, APIs don’t exist yet</w:t>
            </w:r>
          </w:p>
        </w:tc>
        <w:tc>
          <w:tcPr>
            <w:tcW w:type="dxa" w:w="3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Revisit in 18–24 months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Full vulnerability detection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Snyk’s territory, well-served market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Stay in capability lane, complement SAST</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Compliance-first GTM</w:t>
            </w:r>
          </w:p>
        </w:tc>
        <w:tc>
          <w:tcPr>
            <w:tcW w:type="dxa" w:w="3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Wrong buyer persona, long enterprise sales cycles</w:t>
            </w:r>
          </w:p>
        </w:tc>
        <w:tc>
          <w:tcPr>
            <w:tcW w:type="dxa" w:w="3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Security as outcome, developer as buyer</w:t>
            </w:r>
          </w:p>
        </w:tc>
      </w:tr>
    </w:tbl>
    <w:p>
      <w:pPr>
        <w:spacing w:after="120"/>
      </w:pPr>
      <w:r>
        <w:t xml:space="preserve"/>
      </w:r>
    </w:p>
    <w:p>
      <w:pPr>
        <w:pStyle w:val="Heading1"/>
      </w:pPr>
      <w:r>
        <w:t xml:space="preserve">11. UX Principles &amp; Tone</w:t>
      </w:r>
    </w:p>
    <w:p>
      <w:pPr>
        <w:spacing w:after="160" w:line="300"/>
      </w:pPr>
      <w:r>
        <w:rPr>
          <w:rFonts w:ascii="Arial" w:cs="Arial" w:eastAsia="Arial" w:hAnsi="Arial"/>
          <w:color w:val="333333"/>
          <w:sz w:val="22"/>
          <w:szCs w:val="22"/>
        </w:rPr>
        <w:t xml:space="preserve">TASS’s user experience should feel like a helpful assistant, not an adversarial security cop. Tone matters enormously for developer adoption—a tool that feels punitive will be worked around, not worked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Don’t Say</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Say Instead</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“Liability Log”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“Decision Record”</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Liability implies blame; decision implies agency</w:t>
            </w:r>
          </w:p>
        </w:tc>
      </w:tr>
      <w:tr>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“Accept Risk”</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“Create Exception”</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Risk framing triggers avoidance; exception is neutral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“Disagreement Engine” (externally)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“Verification Layer”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Disagreement sounds adversarial; verification sounds helpful</w:t>
            </w:r>
          </w:p>
        </w:tc>
      </w:tr>
      <w:tr>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“Danger! Unauthorized capability!”</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“New capability detected. Confirm?”</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Alarm language causes alert fatigue; neutral language invites engagement</w:t>
            </w:r>
          </w:p>
        </w:tc>
      </w:tr>
    </w:tbl>
    <w:p>
      <w:pPr>
        <w:spacing w:after="120"/>
      </w:pPr>
      <w:r>
        <w:t xml:space="preserve"/>
      </w:r>
    </w:p>
    <w:p>
      <w:pPr>
        <w:spacing w:after="160" w:line="300"/>
      </w:pPr>
      <w:r>
        <w:rPr>
          <w:rFonts w:ascii="Arial" w:cs="Arial" w:eastAsia="Arial" w:hAnsi="Arial"/>
          <w:color w:val="333333"/>
          <w:sz w:val="22"/>
          <w:szCs w:val="22"/>
        </w:rPr>
        <w:t xml:space="preserve">The guiding principle is respect for the developer’s time and intelligence. TASS assumes the developer is competent and made a deliberate choice—it just wants to confirm that the choice was intentional. This framing transforms the interaction from interrogation to collaboration.</w:t>
      </w:r>
    </w:p>
    <w:p>
      <w:r>
        <w:r>
          <w:br w:type="page"/>
        </w:r>
      </w:r>
    </w:p>
    <w:p>
      <w:pPr>
        <w:pStyle w:val="Heading1"/>
      </w:pPr>
      <w:r>
        <w:t xml:space="preserve">12. Decision Points &amp; Next Steps</w:t>
      </w:r>
    </w:p>
    <w:p>
      <w:pPr>
        <w:pStyle w:val="Heading2"/>
      </w:pPr>
      <w:r>
        <w:t xml:space="preserve">12.1 Immediate Next Steps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Baseline Validation Test.</w:t>
      </w:r>
      <w:r>
        <w:rPr>
          <w:rFonts w:ascii="Arial" w:cs="Arial" w:eastAsia="Arial" w:hAnsi="Arial"/>
          <w:color w:val="333333"/>
          <w:sz w:val="22"/>
          <w:szCs w:val="22"/>
        </w:rPr>
        <w:t xml:space="preserve"> Build the baseline detection algorithm and run it against 5 real, diverse repositories. This is the go/no-go gate for the entire project.</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JSON Schema Contracts.</w:t>
      </w:r>
      <w:r>
        <w:rPr>
          <w:rFonts w:ascii="Arial" w:cs="Arial" w:eastAsia="Arial" w:hAnsi="Arial"/>
          <w:color w:val="333333"/>
          <w:sz w:val="22"/>
          <w:szCs w:val="22"/>
        </w:rPr>
        <w:t xml:space="preserve"> Finalize the CapabilitySet and VerificationReceipt schemas. These are the foundation for all three components and must be stable before building begins.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sz w:val="22"/>
          <w:szCs w:val="22"/>
        </w:rPr>
        <w:t xml:space="preserve">Walking Skeleton.</w:t>
      </w:r>
      <w:r>
        <w:rPr>
          <w:rFonts w:ascii="Arial" w:cs="Arial" w:eastAsia="Arial" w:hAnsi="Arial"/>
          <w:color w:val="333333"/>
          <w:sz w:val="22"/>
          <w:szCs w:val="22"/>
        </w:rPr>
        <w:t xml:space="preserve"> Build the thinnest possible slice through Scanner → Brain → UI. Get a single capability detected, baseline-checked, and presented for verification.</w:t>
      </w:r>
    </w:p>
    <w:p>
      <w:pPr>
        <w:spacing w:after="80"/>
      </w:pPr>
      <w:r>
        <w:t xml:space="preserve"/>
      </w:r>
    </w:p>
    <w:p>
      <w:pPr>
        <w:pStyle w:val="Heading2"/>
      </w:pPr>
      <w:r>
        <w:t xml:space="preserve">12.2 Key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Go / No-Go on full build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Baseline test results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If FP &lt; 10%: full build. If 10–20%: iterate on algorithm. If &gt; 20%: pivot.</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Language expansion priority</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Phase 1 traction data</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Add languages based on customer demand, not completeness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Cloud vs. self-hosted Brain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First 100 customers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Start cloud-hosted for simplicity; add self-hosted if enterprise demand materializes</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Hiring first engineer</w:t>
            </w:r>
          </w:p>
        </w:tc>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Approaching $500K ARR</w:t>
            </w:r>
          </w:p>
        </w:tc>
        <w:tc>
          <w:tcPr>
            <w:tcW w:type="dxa" w:w="4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0"/>
            </w:pPr>
            <w:r>
              <w:rPr>
                <w:rFonts w:ascii="Arial" w:cs="Arial" w:eastAsia="Arial" w:hAnsi="Arial"/>
                <w:color w:val="333333"/>
                <w:sz w:val="20"/>
                <w:szCs w:val="20"/>
              </w:rPr>
              <w:t xml:space="preserve">Solo development is a feature until it becomes a bottleneck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Partnership timing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Phase 2 complete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Don’t partner early—build leverage first, then approach Wiz/Snyk from strength</w:t>
            </w:r>
          </w:p>
        </w:tc>
      </w:tr>
    </w:tbl>
    <w:p>
      <w:pPr>
        <w:spacing w:after="120"/>
      </w:pPr>
      <w:r>
        <w:t xml:space="preserve"/>
      </w:r>
    </w:p>
    <w:p>
      <w:pPr>
        <w:pStyle w:val="Heading2"/>
      </w:pPr>
      <w:r>
        <w:t xml:space="preserve">12.3 Current Status</w:t>
      </w:r>
    </w:p>
    <w:p>
      <w:pPr>
        <w:spacing w:after="160" w:line="300"/>
      </w:pPr>
      <w:r>
        <w:rPr>
          <w:rFonts w:ascii="Arial" w:cs="Arial" w:eastAsia="Arial" w:hAnsi="Arial"/>
          <w:color w:val="333333"/>
          <w:sz w:val="22"/>
          <w:szCs w:val="22"/>
        </w:rPr>
        <w:t xml:space="preserve">v3.0 design is complete. The four-phase implementation roadmap is defined. The Walking Skeleton development approach is established with work sized for 2–4 hour sessions. JSON schema contracts (CapabilitySet, VerificationReceipt) are the current focus area, forming the critical interface between the Go Agent and Python Brain.</w:t>
      </w:r>
    </w:p>
    <w:p>
      <w:pPr>
        <w:spacing w:after="160" w:line="300"/>
      </w:pPr>
      <w:r>
        <w:rPr>
          <w:rFonts w:ascii="Arial" w:cs="Arial" w:eastAsia="Arial" w:hAnsi="Arial"/>
          <w:color w:val="333333"/>
          <w:sz w:val="22"/>
          <w:szCs w:val="22"/>
        </w:rPr>
        <w:t xml:space="preserve">The single most important next action is the baseline validation test. Everything downstream—the full build, the GTM strategy, the business model—depends on the baseline being accurate enough to generate meaningful, high-signal alerts that developers will engage with rather than click through.</w:t>
      </w:r>
    </w:p>
    <w:p>
      <w:pPr>
        <w:spacing w:after="400"/>
      </w:pPr>
      <w:r>
        <w:t xml:space="preserve"/>
      </w:r>
    </w:p>
    <w:p>
      <w:pPr>
        <w:pBdr>
          <w:top w:val="single" w:color="2E75B6" w:sz="2" w:space="8"/>
        </w:pBdr>
        <w:spacing w:before="200"/>
        <w:jc w:val="center"/>
      </w:pPr>
      <w:r>
        <w:rPr>
          <w:rFonts w:ascii="Arial" w:cs="Arial" w:eastAsia="Arial" w:hAnsi="Arial"/>
          <w:i/>
          <w:iCs/>
          <w:color w:val="666666"/>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666666"/>
        <w:sz w:val="16"/>
        <w:szCs w:val="16"/>
      </w:rPr>
      <w:t xml:space="preserve">TASS v3.0 — Internal Overview</w:t>
    </w:r>
    <w:r>
      <w:rPr>
        <w:rFonts w:ascii="Arial" w:cs="Arial" w:eastAsia="Arial" w:hAnsi="Arial"/>
        <w:color w:val="666666"/>
        <w:sz w:val="16"/>
        <w:szCs w:val="16"/>
      </w:rPr>
      <w:ptab w:alignment="right" w:relativeTo="margin" w:leader="none"/>
    </w: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2026-02-20T14:25:29.483Z</dcterms:created>
  <dcterms:modified xsi:type="dcterms:W3CDTF">2026-02-20T14:25:29.484Z</dcterms:modified>
</cp:coreProperties>
</file>

<file path=docProps/custom.xml><?xml version="1.0" encoding="utf-8"?>
<Properties xmlns="http://schemas.openxmlformats.org/officeDocument/2006/custom-properties" xmlns:vt="http://schemas.openxmlformats.org/officeDocument/2006/docPropsVTypes"/>
</file>