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00"/>
        <w:jc w:val="center"/>
      </w:pPr>
      <w:r>
        <w:rPr>
          <w:rFonts w:ascii="Arial" w:cs="Arial" w:eastAsia="Arial" w:hAnsi="Arial"/>
          <w:b/>
          <w:bCs/>
          <w:color w:val="1B3A5C"/>
          <w:sz w:val="72"/>
          <w:szCs w:val="72"/>
        </w:rPr>
        <w:t xml:space="preserve">TASS</w:t>
      </w:r>
    </w:p>
    <w:p>
      <w:pPr>
        <w:spacing w:after="120"/>
        <w:jc w:val="center"/>
      </w:pPr>
      <w:r>
        <w:rPr>
          <w:rFonts w:ascii="Arial" w:cs="Arial" w:eastAsia="Arial" w:hAnsi="Arial"/>
          <w:color w:val="2E75B6"/>
          <w:sz w:val="32"/>
          <w:szCs w:val="32"/>
        </w:rPr>
        <w:t xml:space="preserve">Trusted AI Security Scanner</w:t>
      </w:r>
    </w:p>
    <w:p>
      <w:pPr>
        <w:pBdr>
          <w:bottom w:val="single" w:color="2E75B6" w:sz="4" w:space="8"/>
        </w:pBdr>
        <w:spacing w:after="80"/>
        <w:jc w:val="center"/>
      </w:pPr>
      <w:r>
        <w:rPr>
          <w:rFonts w:ascii="Arial" w:cs="Arial" w:eastAsia="Arial" w:hAnsi="Arial"/>
          <w:color w:val="666666"/>
          <w:sz w:val="24"/>
          <w:szCs w:val="24"/>
        </w:rPr>
        <w:t xml:space="preserve">v3.0 — The Disagreement Engine</w:t>
      </w:r>
    </w:p>
    <w:p>
      <w:pPr>
        <w:spacing w:after="600"/>
      </w:pPr>
      <w:r>
        <w:t xml:space="preserve"/>
      </w:r>
    </w:p>
    <w:p>
      <w:pPr>
        <w:spacing w:after="120"/>
        <w:jc w:val="center"/>
      </w:pPr>
      <w:r>
        <w:rPr>
          <w:rFonts w:ascii="Arial" w:cs="Arial" w:eastAsia="Arial" w:hAnsi="Arial"/>
          <w:color w:val="666666"/>
          <w:sz w:val="22"/>
          <w:szCs w:val="22"/>
        </w:rPr>
        <w:t xml:space="preserve">Comprehensive Overview &amp; Internal Planning Document</w:t>
      </w:r>
    </w:p>
    <w:p>
      <w:pPr>
        <w:spacing w:after="120"/>
        <w:jc w:val="center"/>
      </w:pPr>
      <w:r>
        <w:rPr>
          <w:rFonts w:ascii="Arial" w:cs="Arial" w:eastAsia="Arial" w:hAnsi="Arial"/>
          <w:color w:val="666666"/>
          <w:sz w:val="22"/>
          <w:szCs w:val="22"/>
        </w:rPr>
        <w:t xml:space="preserve">February 2026 — Revised Architecture</w:t>
      </w:r>
    </w:p>
    <w:p>
      <w:pPr>
        <w:spacing w:after="1200"/>
      </w:pPr>
      <w:r>
        <w:t xml:space="preserve"/>
      </w:r>
    </w:p>
    <w:p>
      <w:pPr>
        <w:spacing w:after="60"/>
        <w:jc w:val="center"/>
      </w:pPr>
      <w:r>
        <w:rPr>
          <w:rFonts w:ascii="Arial" w:cs="Arial" w:eastAsia="Arial" w:hAnsi="Arial"/>
          <w:b/>
          <w:bCs/>
          <w:color w:val="D4740E"/>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3A5C"/>
          <w:sz w:val="32"/>
          <w:szCs w:val="32"/>
        </w:rPr>
        <w:t xml:space="preserve">Table of Contents</w:t>
      </w:r>
    </w:p>
    <w:p>
      <w:pPr>
        <w:spacing w:after="160" w:line="300"/>
      </w:pPr>
      <w:r>
        <w:rPr>
          <w:rFonts w:ascii="Arial" w:cs="Arial" w:eastAsia="Arial" w:hAnsi="Arial"/>
          <w:color w:val="333333"/>
          <w:sz w:val="22"/>
          <w:szCs w:val="22"/>
        </w:rPr>
        <w:t xml:space="preserve">1.  Executive Summary</w:t>
      </w:r>
    </w:p>
    <w:p>
      <w:pPr>
        <w:spacing w:after="160" w:line="300"/>
      </w:pPr>
      <w:r>
        <w:rPr>
          <w:rFonts w:ascii="Arial" w:cs="Arial" w:eastAsia="Arial" w:hAnsi="Arial"/>
          <w:color w:val="333333"/>
          <w:sz w:val="22"/>
          <w:szCs w:val="22"/>
        </w:rPr>
        <w:t xml:space="preserve">2.  The Problem: AI Code Generation Crisis</w:t>
      </w:r>
    </w:p>
    <w:p>
      <w:pPr>
        <w:spacing w:after="160" w:line="300"/>
      </w:pPr>
      <w:r>
        <w:rPr>
          <w:rFonts w:ascii="Arial" w:cs="Arial" w:eastAsia="Arial" w:hAnsi="Arial"/>
          <w:color w:val="333333"/>
          <w:sz w:val="22"/>
          <w:szCs w:val="22"/>
        </w:rPr>
        <w:t xml:space="preserve">3.  The Solution: How TASS Works</w:t>
      </w:r>
    </w:p>
    <w:p>
      <w:pPr>
        <w:spacing w:after="160" w:line="300"/>
      </w:pPr>
      <w:r>
        <w:rPr>
          <w:rFonts w:ascii="Arial" w:cs="Arial" w:eastAsia="Arial" w:hAnsi="Arial"/>
          <w:color w:val="333333"/>
          <w:sz w:val="22"/>
          <w:szCs w:val="22"/>
        </w:rPr>
        <w:t xml:space="preserve">4.  Technical Architecture</w:t>
      </w:r>
    </w:p>
    <w:p>
      <w:pPr>
        <w:spacing w:after="160" w:line="300"/>
      </w:pPr>
      <w:r>
        <w:rPr>
          <w:rFonts w:ascii="Arial" w:cs="Arial" w:eastAsia="Arial" w:hAnsi="Arial"/>
          <w:color w:val="333333"/>
          <w:sz w:val="22"/>
          <w:szCs w:val="22"/>
        </w:rPr>
        <w:t xml:space="preserve">5.  Layered Detection Strategy</w:t>
      </w:r>
    </w:p>
    <w:p>
      <w:pPr>
        <w:spacing w:after="160" w:line="300"/>
      </w:pPr>
      <w:r>
        <w:rPr>
          <w:rFonts w:ascii="Arial" w:cs="Arial" w:eastAsia="Arial" w:hAnsi="Arial"/>
          <w:color w:val="333333"/>
          <w:sz w:val="22"/>
          <w:szCs w:val="22"/>
        </w:rPr>
        <w:t xml:space="preserve">6.  The Declarative Manifest</w:t>
      </w:r>
    </w:p>
    <w:p>
      <w:pPr>
        <w:spacing w:after="160" w:line="300"/>
      </w:pPr>
      <w:r>
        <w:rPr>
          <w:rFonts w:ascii="Arial" w:cs="Arial" w:eastAsia="Arial" w:hAnsi="Arial"/>
          <w:color w:val="333333"/>
          <w:sz w:val="22"/>
          <w:szCs w:val="22"/>
        </w:rPr>
        <w:t xml:space="preserve">7.  Market Opportunity &amp; Business Model</w:t>
      </w:r>
    </w:p>
    <w:p>
      <w:pPr>
        <w:spacing w:after="160" w:line="300"/>
      </w:pPr>
      <w:r>
        <w:rPr>
          <w:rFonts w:ascii="Arial" w:cs="Arial" w:eastAsia="Arial" w:hAnsi="Arial"/>
          <w:color w:val="333333"/>
          <w:sz w:val="22"/>
          <w:szCs w:val="22"/>
        </w:rPr>
        <w:t xml:space="preserve">8.  Roadmap &amp; Phased Strategy</w:t>
      </w:r>
    </w:p>
    <w:p>
      <w:pPr>
        <w:spacing w:after="160" w:line="300"/>
      </w:pPr>
      <w:r>
        <w:rPr>
          <w:rFonts w:ascii="Arial" w:cs="Arial" w:eastAsia="Arial" w:hAnsi="Arial"/>
          <w:color w:val="333333"/>
          <w:sz w:val="22"/>
          <w:szCs w:val="22"/>
        </w:rPr>
        <w:t xml:space="preserve">9.  Key Metrics &amp; Success Criteria</w:t>
      </w:r>
    </w:p>
    <w:p>
      <w:pPr>
        <w:spacing w:after="160" w:line="300"/>
      </w:pPr>
      <w:r>
        <w:rPr>
          <w:rFonts w:ascii="Arial" w:cs="Arial" w:eastAsia="Arial" w:hAnsi="Arial"/>
          <w:color w:val="333333"/>
          <w:sz w:val="22"/>
          <w:szCs w:val="22"/>
        </w:rPr>
        <w:t xml:space="preserve">10. Competitive Moat &amp; Defensibility</w:t>
      </w:r>
    </w:p>
    <w:p>
      <w:pPr>
        <w:spacing w:after="160" w:line="300"/>
      </w:pPr>
      <w:r>
        <w:rPr>
          <w:rFonts w:ascii="Arial" w:cs="Arial" w:eastAsia="Arial" w:hAnsi="Arial"/>
          <w:color w:val="333333"/>
          <w:sz w:val="22"/>
          <w:szCs w:val="22"/>
        </w:rPr>
        <w:t xml:space="preserve">11. Risks &amp; Mitigations</w:t>
      </w:r>
    </w:p>
    <w:p>
      <w:pPr>
        <w:spacing w:after="160" w:line="300"/>
      </w:pPr>
      <w:r>
        <w:rPr>
          <w:rFonts w:ascii="Arial" w:cs="Arial" w:eastAsia="Arial" w:hAnsi="Arial"/>
          <w:color w:val="333333"/>
          <w:sz w:val="22"/>
          <w:szCs w:val="22"/>
        </w:rPr>
        <w:t xml:space="preserve">12. Scope Boundaries</w:t>
      </w:r>
    </w:p>
    <w:p>
      <w:pPr>
        <w:spacing w:after="160" w:line="300"/>
      </w:pPr>
      <w:r>
        <w:rPr>
          <w:rFonts w:ascii="Arial" w:cs="Arial" w:eastAsia="Arial" w:hAnsi="Arial"/>
          <w:color w:val="333333"/>
          <w:sz w:val="22"/>
          <w:szCs w:val="22"/>
        </w:rPr>
        <w:t xml:space="preserve">13. UX Principles &amp; Tone</w:t>
      </w:r>
    </w:p>
    <w:p>
      <w:pPr>
        <w:spacing w:after="160" w:line="300"/>
      </w:pPr>
      <w:r>
        <w:rPr>
          <w:rFonts w:ascii="Arial" w:cs="Arial" w:eastAsia="Arial" w:hAnsi="Arial"/>
          <w:color w:val="333333"/>
          <w:sz w:val="22"/>
          <w:szCs w:val="22"/>
        </w:rPr>
        <w:t xml:space="preserve">14. Decision Points &amp; Next Steps</w:t>
      </w:r>
    </w:p>
    <w:p>
      <w:pPr>
        <w:spacing w:after="200"/>
      </w:pPr>
      <w:r>
        <w:t xml:space="preserve"/>
      </w:r>
    </w:p>
    <w:p>
      <w:r>
        <w:r>
          <w:br w:type="page"/>
        </w:r>
      </w:r>
    </w:p>
    <w:p>
      <w:pPr>
        <w:pStyle w:val="Heading1"/>
      </w:pPr>
      <w:r>
        <w:t xml:space="preserve">1. Executive Summary</w:t>
      </w:r>
    </w:p>
    <w:p>
      <w:pPr>
        <w:spacing w:after="160" w:line="300"/>
      </w:pPr>
      <w:r>
        <w:rPr>
          <w:rFonts w:ascii="Arial" w:cs="Arial" w:eastAsia="Arial" w:hAnsi="Arial"/>
          <w:color w:val="333333"/>
          <w:sz w:val="22"/>
          <w:szCs w:val="22"/>
        </w:rPr>
        <w:t xml:space="preserve">TASS (Trusted AI Security Scanner) is a capability detection system purpose-built for the age of AI-generated code. As tools like GitHub Copilot and Cursor write entire features, developers increasingly skim AI-generated summaries and rubber-stamp pull requests—allowing dangerous capabilities like hardcoded secrets, unapproved API calls, and privilege escalations to slip through undetected.</w:t>
      </w:r>
    </w:p>
    <w:p>
      <w:pPr>
        <w:spacing w:after="160" w:line="300"/>
      </w:pPr>
      <w:r>
        <w:rPr>
          <w:rFonts w:ascii="Arial" w:cs="Arial" w:eastAsia="Arial" w:hAnsi="Arial"/>
          <w:color w:val="333333"/>
          <w:sz w:val="22"/>
          <w:szCs w:val="22"/>
        </w:rPr>
        <w:t xml:space="preserve">TASS v3.0, internally dubbed the “Disagreement Engine,” addresses this by automatically scanning pull requests for newly introduced capabilities, comparing them against a </w:t>
      </w:r>
      <w:r>
        <w:rPr>
          <w:rFonts w:ascii="Arial" w:cs="Arial" w:eastAsia="Arial" w:hAnsi="Arial"/>
          <w:b/>
          <w:bCs/>
          <w:sz w:val="22"/>
          <w:szCs w:val="22"/>
        </w:rPr>
        <w:t xml:space="preserve">declarative manifest</w:t>
      </w:r>
      <w:r>
        <w:rPr>
          <w:rFonts w:ascii="Arial" w:cs="Arial" w:eastAsia="Arial" w:hAnsi="Arial"/>
          <w:color w:val="333333"/>
          <w:sz w:val="22"/>
          <w:szCs w:val="22"/>
        </w:rPr>
        <w:t xml:space="preserve"> of known capabilities committed to the repository, and surfacing only the novel, unexpected changes for explicit human confirmation. The core interaction is radically simple: developers see a detected capability (“This PR adds Stripe API access”) and click Confirm or Revert—no forms, no questionnaires, just a binary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0F8" w:val="clear"/>
            <w:tcMar>
              <w:top w:type="dxa" w:w="140"/>
              <w:left w:type="dxa" w:w="200"/>
              <w:bottom w:type="dxa" w:w="140"/>
              <w:right w:type="dxa" w:w="200"/>
            </w:tcMar>
          </w:tcPr>
          <w:p>
            <w:pPr>
              <w:spacing w:after="80"/>
            </w:pPr>
            <w:r>
              <w:rPr>
                <w:rFonts w:ascii="Arial" w:cs="Arial" w:eastAsia="Arial" w:hAnsi="Arial"/>
                <w:b/>
                <w:bCs/>
                <w:color w:val="1B3A5C"/>
                <w:sz w:val="22"/>
                <w:szCs w:val="22"/>
              </w:rPr>
              <w:t xml:space="preserve">Core Value Proposition</w:t>
            </w:r>
          </w:p>
          <w:p>
            <w:pPr>
              <w:spacing w:after="0" w:line="280"/>
            </w:pPr>
            <w:r>
              <w:rPr>
                <w:rFonts w:ascii="Arial" w:cs="Arial" w:eastAsia="Arial" w:hAnsi="Arial"/>
                <w:color w:val="333333"/>
                <w:sz w:val="20"/>
                <w:szCs w:val="20"/>
              </w:rPr>
              <w:t xml:space="preserve">Machines state facts (“This code calls http.Post()”). Humans state intent (“I wanted to add a contact form”). TASS forces agreement between reality and intent, catching the gaps where security incidents live.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8"/>
              <w:bottom w:val="single" w:color="2E8B57" w:sz="2"/>
              <w:right w:val="single" w:color="2E8B57" w:sz="2"/>
            </w:tcBorders>
            <w:shd w:fill="EAF5EA" w:val="clear"/>
            <w:tcMar>
              <w:top w:type="dxa" w:w="140"/>
              <w:left w:type="dxa" w:w="200"/>
              <w:bottom w:type="dxa" w:w="140"/>
              <w:right w:type="dxa" w:w="200"/>
            </w:tcMar>
          </w:tcPr>
          <w:p>
            <w:pPr>
              <w:spacing w:after="80"/>
            </w:pPr>
            <w:r>
              <w:rPr>
                <w:rFonts w:ascii="Arial" w:cs="Arial" w:eastAsia="Arial" w:hAnsi="Arial"/>
                <w:b/>
                <w:bCs/>
                <w:color w:val="1B3A5C"/>
                <w:sz w:val="22"/>
                <w:szCs w:val="22"/>
              </w:rPr>
              <w:t xml:space="preserve">Key Architectural Decision (Revised)</w:t>
            </w:r>
          </w:p>
          <w:p>
            <w:pPr>
              <w:spacing w:after="0" w:line="280"/>
            </w:pPr>
            <w:r>
              <w:rPr>
                <w:rFonts w:ascii="Arial" w:cs="Arial" w:eastAsia="Arial" w:hAnsi="Arial"/>
                <w:color w:val="333333"/>
                <w:sz w:val="20"/>
                <w:szCs w:val="20"/>
              </w:rPr>
              <w:t xml:space="preserve">TASS ships as a single Go binary. One build, one artifact, zero runtime dependencies. The scanner, API backend, and verification UI (served via HTMX + Templ) all compile into one executable. Developers download one file and it just works—the SQLite energy of developer tooling.</w:t>
            </w:r>
          </w:p>
        </w:tc>
      </w:tr>
    </w:tbl>
    <w:p>
      <w:pPr>
        <w:spacing w:after="120"/>
      </w:pPr>
      <w:r>
        <w:t xml:space="preserve"/>
      </w:r>
    </w:p>
    <w:p>
      <w:pPr>
        <w:spacing w:after="160" w:line="300"/>
      </w:pPr>
      <w:r>
        <w:rPr>
          <w:rFonts w:ascii="Arial" w:cs="Arial" w:eastAsia="Arial" w:hAnsi="Arial"/>
          <w:color w:val="333333"/>
          <w:sz w:val="22"/>
          <w:szCs w:val="22"/>
        </w:rPr>
        <w:t xml:space="preserve">The system follows a layered detection strategy—starting with dependency file diffing (which catches roughly 80% of new capabilities for free) and augmenting with Tree-sitter AST queries for source-level detection. The baseline is not inferred or modeled; it is a </w:t>
      </w:r>
      <w:r>
        <w:rPr>
          <w:rFonts w:ascii="Arial" w:cs="Arial" w:eastAsia="Arial" w:hAnsi="Arial"/>
          <w:b/>
          <w:bCs/>
          <w:sz w:val="22"/>
          <w:szCs w:val="22"/>
        </w:rPr>
        <w:t xml:space="preserve">declarative manifest file</w:t>
      </w:r>
      <w:r>
        <w:rPr>
          <w:rFonts w:ascii="Arial" w:cs="Arial" w:eastAsia="Arial" w:hAnsi="Arial"/>
          <w:color w:val="333333"/>
          <w:sz w:val="22"/>
          <w:szCs w:val="22"/>
        </w:rPr>
        <w:t xml:space="preserve"> (tass.manifest.yaml) committed to the repository, making accuracy deterministic rather than probabilistic.</w:t>
      </w:r>
    </w:p>
    <w:p>
      <w:pPr>
        <w:spacing w:after="160" w:line="300"/>
      </w:pPr>
      <w:r>
        <w:rPr>
          <w:rFonts w:ascii="Arial" w:cs="Arial" w:eastAsia="Arial" w:hAnsi="Arial"/>
          <w:color w:val="333333"/>
          <w:sz w:val="22"/>
          <w:szCs w:val="22"/>
        </w:rPr>
        <w:t xml:space="preserve">The total addressable market is estimated at $200M ARR at maturity, targeting the rapidly growing intersection of AI code generation and developer security tooling.</w:t>
      </w:r>
    </w:p>
    <w:p>
      <w:r>
        <w:r>
          <w:br w:type="page"/>
        </w:r>
      </w:r>
    </w:p>
    <w:p>
      <w:pPr>
        <w:pStyle w:val="Heading1"/>
      </w:pPr>
      <w:r>
        <w:t xml:space="preserve">2. The Problem: AI Code Generation Crisis</w:t>
      </w:r>
    </w:p>
    <w:p>
      <w:pPr>
        <w:pStyle w:val="Heading2"/>
      </w:pPr>
      <w:r>
        <w:t xml:space="preserve">2.1 The Rubber-Stamp Epidemic</w:t>
      </w:r>
    </w:p>
    <w:p>
      <w:pPr>
        <w:spacing w:after="160" w:line="300"/>
      </w:pPr>
      <w:r>
        <w:rPr>
          <w:rFonts w:ascii="Arial" w:cs="Arial" w:eastAsia="Arial" w:hAnsi="Arial"/>
          <w:color w:val="333333"/>
          <w:sz w:val="22"/>
          <w:szCs w:val="22"/>
        </w:rPr>
        <w:t xml:space="preserve">AI code generation tools have fundamentally changed how software gets written. GitHub Copilot, Cursor, and similar tools can generate entire features, complete with API integrations, database schemas, and network calls. This creates a paradox: code is produced faster than humans can meaningfully review it.</w:t>
      </w:r>
    </w:p>
    <w:p>
      <w:pPr>
        <w:spacing w:after="160" w:line="300"/>
      </w:pPr>
      <w:r>
        <w:rPr>
          <w:rFonts w:ascii="Arial" w:cs="Arial" w:eastAsia="Arial" w:hAnsi="Arial"/>
          <w:color w:val="333333"/>
          <w:sz w:val="22"/>
          <w:szCs w:val="22"/>
        </w:rPr>
        <w:t xml:space="preserve">The result is a growing pattern of “rubber-stamp reviews,” where developers glance at AI-generated summaries, confirm the code compiles, and approve the pull request. The dangerous capabilities embedded within—an unapproved external API call here, a new database write path there—pass through unnoticed.</w:t>
      </w:r>
    </w:p>
    <w:p>
      <w:pPr>
        <w:pStyle w:val="Heading2"/>
      </w:pPr>
      <w:r>
        <w:t xml:space="preserve">2.2 Why Existing Tools Fall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Category</w:t>
            </w:r>
          </w:p>
        </w:tc>
        <w:tc>
          <w:tcPr>
            <w:tcW w:type="dxa" w:w="3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Misses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SAST (e.g., Semgrep)</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Detects code patterns matching known vulnerability signatures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Cannot detect novel capabilities that aren’t vulnerabilities—just unexpected</w:t>
            </w:r>
          </w:p>
        </w:tc>
      </w:tr>
      <w:tr>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SCA (e.g., Snyk)</w:t>
            </w:r>
          </w:p>
        </w:tc>
        <w:tc>
          <w:tcPr>
            <w:tcW w:type="dxa" w:w="3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Scans dependencies for known CVEs</w:t>
            </w:r>
          </w:p>
        </w:tc>
        <w:tc>
          <w:tcPr>
            <w:tcW w:type="dxa" w:w="4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Doesn’t analyze what the code actually does with those dependencies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Code Review Tools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Highlights diffs, adds comments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Relies on humans noticing dangerous patterns in large AI-generated diffs</w:t>
            </w:r>
          </w:p>
        </w:tc>
      </w:tr>
      <w:tr>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AI PR Summarizers</w:t>
            </w:r>
          </w:p>
        </w:tc>
        <w:tc>
          <w:tcPr>
            <w:tcW w:type="dxa" w:w="3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Generate natural language summaries of changes</w:t>
            </w:r>
          </w:p>
        </w:tc>
        <w:tc>
          <w:tcPr>
            <w:tcW w:type="dxa" w:w="4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Summaries can miss or downplay security-relevant capabilities</w:t>
            </w:r>
          </w:p>
        </w:tc>
      </w:tr>
    </w:tbl>
    <w:p>
      <w:pPr>
        <w:spacing w:after="120"/>
      </w:pPr>
      <w:r>
        <w:t xml:space="preserve"/>
      </w:r>
    </w:p>
    <w:p>
      <w:pPr>
        <w:spacing w:after="160" w:line="300"/>
      </w:pPr>
      <w:r>
        <w:rPr>
          <w:rFonts w:ascii="Arial" w:cs="Arial" w:eastAsia="Arial" w:hAnsi="Arial"/>
          <w:color w:val="333333"/>
          <w:sz w:val="22"/>
          <w:szCs w:val="22"/>
        </w:rPr>
        <w:t xml:space="preserve">The fundamental gap is that no existing tool asks the question TASS asks: “Is this capability expected?” Vulnerability scanners check if code is broken. TASS checks if code is doing what the developer intended.</w:t>
      </w:r>
    </w:p>
    <w:p>
      <w:pPr>
        <w:pStyle w:val="Heading2"/>
      </w:pPr>
      <w:r>
        <w:t xml:space="preserve">2.3 The Intent-Reality Gap</w:t>
      </w:r>
    </w:p>
    <w:p>
      <w:pPr>
        <w:spacing w:after="160" w:line="300"/>
      </w:pPr>
      <w:r>
        <w:rPr>
          <w:rFonts w:ascii="Arial" w:cs="Arial" w:eastAsia="Arial" w:hAnsi="Arial"/>
          <w:color w:val="333333"/>
          <w:sz w:val="22"/>
          <w:szCs w:val="22"/>
        </w:rPr>
        <w:t xml:space="preserve">Every security incident involving AI-generated code follows the same pattern: the machine produced something technically functional but semantically wrong. A developer asks for a contact form and gets code that also opens a network socket. The code works—it just does more than intended. TASS is designed to live in this exact gap between what was requested and what was delivered.</w:t>
      </w:r>
    </w:p>
    <w:p>
      <w:r>
        <w:r>
          <w:br w:type="page"/>
        </w:r>
      </w:r>
    </w:p>
    <w:p>
      <w:pPr>
        <w:pStyle w:val="Heading1"/>
      </w:pPr>
      <w:r>
        <w:t xml:space="preserve">3. The Solution: How TASS Works</w:t>
      </w:r>
    </w:p>
    <w:p>
      <w:pPr>
        <w:pStyle w:val="Heading2"/>
      </w:pPr>
      <w:r>
        <w:t xml:space="preserve">3.1 Core Mechanic</w:t>
      </w:r>
    </w:p>
    <w:p>
      <w:pPr>
        <w:spacing w:after="160" w:line="300"/>
      </w:pPr>
      <w:r>
        <w:rPr>
          <w:rFonts w:ascii="Arial" w:cs="Arial" w:eastAsia="Arial" w:hAnsi="Arial"/>
          <w:color w:val="333333"/>
          <w:sz w:val="22"/>
          <w:szCs w:val="22"/>
        </w:rPr>
        <w:t xml:space="preserve">TASS operates on a three-step loop that runs automatically on every pull request:</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Detect.</w:t>
      </w:r>
      <w:r>
        <w:rPr>
          <w:rFonts w:ascii="Arial" w:cs="Arial" w:eastAsia="Arial" w:hAnsi="Arial"/>
          <w:color w:val="333333"/>
          <w:sz w:val="22"/>
          <w:szCs w:val="22"/>
        </w:rPr>
        <w:t xml:space="preserve"> The TASS binary scans changed files using a layered detection strategy: first diffing dependency files (go.mod, requirements.txt, package.json) for new external dependencies, then running Tree-sitter AST queries against changed source files to identify infrastructure-level capabilities like API calls, network access, and database operations.</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Diff Against Manifest.</w:t>
      </w:r>
      <w:r>
        <w:rPr>
          <w:rFonts w:ascii="Arial" w:cs="Arial" w:eastAsia="Arial" w:hAnsi="Arial"/>
          <w:color w:val="333333"/>
          <w:sz w:val="22"/>
          <w:szCs w:val="22"/>
        </w:rPr>
        <w:t xml:space="preserve"> Detected capabilities are compared against the repository’s tass.manifest.yaml—a declarative, version-controlled file listing all known capabilities. Only capabilities not present in the manifest are flagged as novel. This is a deterministic string comparison, not a probabilistic inference.</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Verify.</w:t>
      </w:r>
      <w:r>
        <w:rPr>
          <w:rFonts w:ascii="Arial" w:cs="Arial" w:eastAsia="Arial" w:hAnsi="Arial"/>
          <w:color w:val="333333"/>
          <w:sz w:val="22"/>
          <w:szCs w:val="22"/>
        </w:rPr>
        <w:t xml:space="preserve"> Novel capabilities are presented in a lightweight HTMX-powered verification interface served directly by the TASS binary. The developer sees exactly what was detected and makes a binary decision: Confirm (capability is added to the manifest) or Revert (PR is flagged for review).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40E" w:sz="2"/>
              <w:left w:val="single" w:color="D4740E" w:sz="8"/>
              <w:bottom w:val="single" w:color="D4740E" w:sz="2"/>
              <w:right w:val="single" w:color="D4740E" w:sz="2"/>
            </w:tcBorders>
            <w:shd w:fill="FFF3E6" w:val="clear"/>
            <w:tcMar>
              <w:top w:type="dxa" w:w="140"/>
              <w:left w:type="dxa" w:w="200"/>
              <w:bottom w:type="dxa" w:w="140"/>
              <w:right w:type="dxa" w:w="200"/>
            </w:tcMar>
          </w:tcPr>
          <w:p>
            <w:pPr>
              <w:spacing w:after="80"/>
            </w:pPr>
            <w:r>
              <w:rPr>
                <w:rFonts w:ascii="Arial" w:cs="Arial" w:eastAsia="Arial" w:hAnsi="Arial"/>
                <w:b/>
                <w:bCs/>
                <w:color w:val="1B3A5C"/>
                <w:sz w:val="22"/>
                <w:szCs w:val="22"/>
              </w:rPr>
              <w:t xml:space="preserve">The Key Innovation</w:t>
            </w:r>
          </w:p>
          <w:p>
            <w:pPr>
              <w:spacing w:after="0" w:line="280"/>
            </w:pPr>
            <w:r>
              <w:rPr>
                <w:rFonts w:ascii="Arial" w:cs="Arial" w:eastAsia="Arial" w:hAnsi="Arial"/>
                <w:color w:val="333333"/>
                <w:sz w:val="20"/>
                <w:szCs w:val="20"/>
              </w:rPr>
              <w:t xml:space="preserve">Developers don’t fill out forms. They answer one question: “Did you mean to add [capability]? Yes or No.” This keeps friction near zero while forcing explicit acknowledgment of every new capability.</w:t>
            </w:r>
          </w:p>
        </w:tc>
      </w:tr>
    </w:tbl>
    <w:p>
      <w:pPr>
        <w:spacing w:after="120"/>
      </w:pPr>
      <w:r>
        <w:t xml:space="preserve"/>
      </w:r>
    </w:p>
    <w:p>
      <w:pPr>
        <w:pStyle w:val="Heading2"/>
      </w:pPr>
      <w:r>
        <w:t xml:space="preserve">3.2 First-Run Experience</w:t>
      </w:r>
    </w:p>
    <w:p>
      <w:pPr>
        <w:spacing w:after="160" w:line="300"/>
      </w:pPr>
      <w:r>
        <w:rPr>
          <w:rFonts w:ascii="Arial" w:cs="Arial" w:eastAsia="Arial" w:hAnsi="Arial"/>
          <w:color w:val="333333"/>
          <w:sz w:val="22"/>
          <w:szCs w:val="22"/>
        </w:rPr>
        <w:t xml:space="preserve">When a developer first installs TASS on a repository, the binary performs a full scan and generates a tass.manifest.yaml listing every detected capability. The developer reviews this file—similar to reviewing a generated .gitignore or .eslintrc—and commits it to the repository. This committed manifest becomes the declared baseline.</w:t>
      </w:r>
    </w:p>
    <w:p>
      <w:pPr>
        <w:spacing w:after="160" w:line="300"/>
      </w:pPr>
      <w:r>
        <w:rPr>
          <w:rFonts w:ascii="Arial" w:cs="Arial" w:eastAsia="Arial" w:hAnsi="Arial"/>
          <w:color w:val="333333"/>
          <w:sz w:val="22"/>
          <w:szCs w:val="22"/>
        </w:rPr>
        <w:t xml:space="preserve">This is a deliberate design choice: the baseline is explicit and human-approved, not inferred. The one-time review cost (typically 10–15 minutes for a moderately complex repo) eliminates the entire class of false-positive problems that plague inferred baselines. From this point forward, TASS only flags net-new capabilities against the declared manifest.</w:t>
      </w:r>
    </w:p>
    <w:p>
      <w:pPr>
        <w:pStyle w:val="Heading2"/>
      </w:pPr>
      <w:r>
        <w:t xml:space="preserve">3.3 What TASS Detects</w:t>
      </w:r>
    </w:p>
    <w:p>
      <w:pPr>
        <w:spacing w:after="160" w:line="300"/>
      </w:pPr>
      <w:r>
        <w:rPr>
          <w:rFonts w:ascii="Arial" w:cs="Arial" w:eastAsia="Arial" w:hAnsi="Arial"/>
          <w:color w:val="333333"/>
          <w:sz w:val="22"/>
          <w:szCs w:val="22"/>
        </w:rPr>
        <w:t xml:space="preserve">TASS focuses exclusively on infrastructure-level capabilities, deliberately avoiding the territory occupied by SAST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Capability Category</w:t>
            </w:r>
          </w:p>
        </w:tc>
        <w:tc>
          <w:tcPr>
            <w:tcW w:type="dxa" w:w="3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Detection Layer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External Dependencies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New entries in go.mod, requirements.txt, package.json</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Layer 0 (Dependency Diff)</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External API Calls</w:t>
            </w:r>
          </w:p>
        </w:tc>
        <w:tc>
          <w:tcPr>
            <w:tcW w:type="dxa" w:w="33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Stripe, Twilio, SendGrid, AWS SDK usage in source</w:t>
            </w:r>
          </w:p>
        </w:tc>
        <w:tc>
          <w:tcPr>
            <w:tcW w:type="dxa" w:w="3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Layer 1 (Tree-sitter)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Database Operations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New write paths, schema changes, new collections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Layer 1 (Tree-sitter)</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Network Access</w:t>
            </w:r>
          </w:p>
        </w:tc>
        <w:tc>
          <w:tcPr>
            <w:tcW w:type="dxa" w:w="33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Socket operations, HTTP clients, WebSocket connections</w:t>
            </w:r>
          </w:p>
        </w:tc>
        <w:tc>
          <w:tcPr>
            <w:tcW w:type="dxa" w:w="3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Layer 1 (Tree-sitter)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File System Operations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File writes, temp directory access, path traversal patterns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Layer 1 (Tree-sitter)</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Privilege Patterns</w:t>
            </w:r>
          </w:p>
        </w:tc>
        <w:tc>
          <w:tcPr>
            <w:tcW w:type="dxa" w:w="33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Auth bypasses, role checks, permission escalations</w:t>
            </w:r>
          </w:p>
        </w:tc>
        <w:tc>
          <w:tcPr>
            <w:tcW w:type="dxa" w:w="3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Layer 1 (Tree-sitter)</w:t>
            </w:r>
          </w:p>
        </w:tc>
      </w:tr>
    </w:tbl>
    <w:p>
      <w:pPr>
        <w:spacing w:after="120"/>
      </w:pPr>
      <w:r>
        <w:t xml:space="preserve"/>
      </w:r>
    </w:p>
    <w:p>
      <w:pPr>
        <w:spacing w:after="160" w:line="300"/>
      </w:pPr>
      <w:r>
        <w:rPr>
          <w:rFonts w:ascii="Arial" w:cs="Arial" w:eastAsia="Arial" w:hAnsi="Arial"/>
          <w:color w:val="333333"/>
          <w:sz w:val="22"/>
          <w:szCs w:val="22"/>
        </w:rPr>
        <w:t xml:space="preserve">Crucially, TASS does not attempt to detect logic vulnerabilities like SQL injection or XSS—that’s SAST territory and a well-served market. TASS’s lane is behavioral: what can this code do, and did you mean for it to do that?</w:t>
      </w:r>
    </w:p>
    <w:p>
      <w:r>
        <w:r>
          <w:br w:type="page"/>
        </w:r>
      </w:r>
    </w:p>
    <w:p>
      <w:pPr>
        <w:pStyle w:val="Heading1"/>
      </w:pPr>
      <w:r>
        <w:t xml:space="preserve">4. Technical Architecture</w:t>
      </w:r>
    </w:p>
    <w:p>
      <w:pPr>
        <w:pStyle w:val="Heading2"/>
      </w:pPr>
      <w:r>
        <w:t xml:space="preserve">4.1 Single-Binary Architecture</w:t>
      </w:r>
    </w:p>
    <w:p>
      <w:pPr>
        <w:spacing w:after="160" w:line="300"/>
      </w:pPr>
      <w:r>
        <w:rPr>
          <w:rFonts w:ascii="Arial" w:cs="Arial" w:eastAsia="Arial" w:hAnsi="Arial"/>
          <w:color w:val="333333"/>
          <w:sz w:val="22"/>
          <w:szCs w:val="22"/>
        </w:rPr>
        <w:t xml:space="preserve">TASS is built as a single Go binary that contains all functionality: scanning, API backend, and verification UI. This is a deliberate architectural choice optimized for solo development velocity and frictionless developer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8"/>
              <w:bottom w:val="single" w:color="2E8B57" w:sz="2"/>
              <w:right w:val="single" w:color="2E8B57" w:sz="2"/>
            </w:tcBorders>
            <w:shd w:fill="EAF5EA" w:val="clear"/>
            <w:tcMar>
              <w:top w:type="dxa" w:w="140"/>
              <w:left w:type="dxa" w:w="200"/>
              <w:bottom w:type="dxa" w:w="140"/>
              <w:right w:type="dxa" w:w="200"/>
            </w:tcMar>
          </w:tcPr>
          <w:p>
            <w:pPr>
              <w:spacing w:after="80"/>
            </w:pPr>
            <w:r>
              <w:rPr>
                <w:rFonts w:ascii="Arial" w:cs="Arial" w:eastAsia="Arial" w:hAnsi="Arial"/>
                <w:b/>
                <w:bCs/>
                <w:color w:val="1B3A5C"/>
                <w:sz w:val="22"/>
                <w:szCs w:val="22"/>
              </w:rPr>
              <w:t xml:space="preserve">Why a Single Go Binary?</w:t>
            </w:r>
          </w:p>
          <w:p>
            <w:pPr>
              <w:spacing w:after="0" w:line="280"/>
            </w:pPr>
            <w:r>
              <w:rPr>
                <w:rFonts w:ascii="Arial" w:cs="Arial" w:eastAsia="Arial" w:hAnsi="Arial"/>
                <w:color w:val="333333"/>
                <w:sz w:val="20"/>
                <w:szCs w:val="20"/>
              </w:rPr>
              <w:t xml:space="preserve">One language means one debugger, one test framework, shared types across all components, and compiler-enforced data contract consistency. One binary means zero runtime dependencies for end users—download, run, done. This is the SQLite philosophy applied to security tooling.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4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Scanner</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Go + Tree-sitter (go-tree-sitter bindings)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Dependency diffing and AST-based capability extraction</w:t>
            </w:r>
          </w:p>
        </w:tc>
      </w:tr>
      <w:tr>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Brain (API)</w:t>
            </w:r>
          </w:p>
        </w:tc>
        <w:tc>
          <w:tcPr>
            <w:tcW w:type="dxa" w:w="3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Go + Chi/stdlib net/http + SQLite (modernc.org/sqlite, pure Go)</w:t>
            </w:r>
          </w:p>
        </w:tc>
        <w:tc>
          <w:tcPr>
            <w:tcW w:type="dxa" w:w="4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Manifest comparison, decision storage, baseline updates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UI</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Go + Templ + HTMX</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Server-rendered verification interface with minimal interactivity</w:t>
            </w:r>
          </w:p>
        </w:tc>
      </w:tr>
      <w:tr>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Storage</w:t>
            </w:r>
          </w:p>
        </w:tc>
        <w:tc>
          <w:tcPr>
            <w:tcW w:type="dxa" w:w="3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SQLite (local dev) → PostgreSQL (production)</w:t>
            </w:r>
          </w:p>
        </w:tc>
        <w:tc>
          <w:tcPr>
            <w:tcW w:type="dxa" w:w="4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Decision records, manifest history, aggregate analytics</w:t>
            </w:r>
          </w:p>
        </w:tc>
      </w:tr>
    </w:tbl>
    <w:p>
      <w:pPr>
        <w:spacing w:after="120"/>
      </w:pPr>
      <w:r>
        <w:t xml:space="preserve"/>
      </w:r>
    </w:p>
    <w:p>
      <w:pPr>
        <w:spacing w:after="160" w:line="300"/>
      </w:pPr>
      <w:r>
        <w:rPr>
          <w:rFonts w:ascii="Arial" w:cs="Arial" w:eastAsia="Arial" w:hAnsi="Arial"/>
          <w:color w:val="333333"/>
          <w:sz w:val="22"/>
          <w:szCs w:val="22"/>
        </w:rPr>
        <w:t xml:space="preserve">The entire codebase lives in a Go monorepo. Data contracts (CapabilitySet, VerificationReceipt, ManifestEntry) are Go structs shared across packages. Changing a field in a contract triggers compiler errors everywhere that struct is used—across the scanner, the API, and the UI handlers—simultaneously. This eliminates the “did I update the Python dataclass to match the Go struct?” problem entirely.</w:t>
      </w:r>
    </w:p>
    <w:p>
      <w:pPr>
        <w:pStyle w:val="Heading2"/>
      </w:pPr>
      <w:r>
        <w:t xml:space="preserve">4.2 The Scanner</w:t>
      </w:r>
    </w:p>
    <w:p>
      <w:pPr>
        <w:spacing w:after="160" w:line="300"/>
      </w:pPr>
      <w:r>
        <w:rPr>
          <w:rFonts w:ascii="Arial" w:cs="Arial" w:eastAsia="Arial" w:hAnsi="Arial"/>
          <w:color w:val="333333"/>
          <w:sz w:val="22"/>
          <w:szCs w:val="22"/>
        </w:rPr>
        <w:t xml:space="preserve">The Scanner is the detection engine. It runs within the CI/CD pipeline (as a GitHub Action, GitLab CI step, or local pre-commit hook) and produces a set of detected capabilities.</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Dependency Diffing (Layer 0):</w:t>
      </w:r>
      <w:r>
        <w:rPr>
          <w:rFonts w:ascii="Arial" w:cs="Arial" w:eastAsia="Arial" w:hAnsi="Arial"/>
          <w:color w:val="333333"/>
          <w:sz w:val="22"/>
          <w:szCs w:val="22"/>
        </w:rPr>
        <w:t xml:space="preserve"> Parses and diffs dependency files (go.mod, requirements.txt, package.json, Cargo.toml, etc.) to detect new external dependencies. This is structurally trivial but catches the highest-signal capability changes.</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AST Queries (Layer 1):</w:t>
      </w:r>
      <w:r>
        <w:rPr>
          <w:rFonts w:ascii="Arial" w:cs="Arial" w:eastAsia="Arial" w:hAnsi="Arial"/>
          <w:color w:val="333333"/>
          <w:sz w:val="22"/>
          <w:szCs w:val="22"/>
        </w:rPr>
        <w:t xml:space="preserve"> Uses Tree-sitter via go-tree-sitter bindings to parse changed source files and run declarative S-expression queries against the AST. Detection rules are data files (.scm query files), not compiled code, enabling easy extension and community contribution.</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Output:</w:t>
      </w:r>
      <w:r>
        <w:rPr>
          <w:rFonts w:ascii="Arial" w:cs="Arial" w:eastAsia="Arial" w:hAnsi="Arial"/>
          <w:color w:val="333333"/>
          <w:sz w:val="22"/>
          <w:szCs w:val="22"/>
        </w:rPr>
        <w:t xml:space="preserve"> Produces a CapabilitySet—a structured list of detected capabilities with file locations, detection layer, confidence metadata, and capability type.</w:t>
      </w:r>
    </w:p>
    <w:p>
      <w:pPr>
        <w:spacing w:after="80"/>
      </w:pPr>
      <w:r>
        <w:t xml:space="preserve"/>
      </w:r>
    </w:p>
    <w:p>
      <w:pPr>
        <w:pStyle w:val="Heading2"/>
      </w:pPr>
      <w:r>
        <w:t xml:space="preserve">4.3 The Brain (API Backend)</w:t>
      </w:r>
    </w:p>
    <w:p>
      <w:pPr>
        <w:spacing w:after="160" w:line="300"/>
      </w:pPr>
      <w:r>
        <w:rPr>
          <w:rFonts w:ascii="Arial" w:cs="Arial" w:eastAsia="Arial" w:hAnsi="Arial"/>
          <w:color w:val="333333"/>
          <w:sz w:val="22"/>
          <w:szCs w:val="22"/>
        </w:rPr>
        <w:t xml:space="preserve">The Brain is the comparison and decision engine, implemented as HTTP handlers within the same Go binary.</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Manifest Diffing:</w:t>
      </w:r>
      <w:r>
        <w:rPr>
          <w:rFonts w:ascii="Arial" w:cs="Arial" w:eastAsia="Arial" w:hAnsi="Arial"/>
          <w:color w:val="333333"/>
          <w:sz w:val="22"/>
          <w:szCs w:val="22"/>
        </w:rPr>
        <w:t xml:space="preserve"> Receives a CapabilitySet from the scanner and diffs it against the repository’s tass.manifest.yaml. This is a deterministic comparison—a capability is either in the manifest or it isn’t.</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Decision Storage:</w:t>
      </w:r>
      <w:r>
        <w:rPr>
          <w:rFonts w:ascii="Arial" w:cs="Arial" w:eastAsia="Arial" w:hAnsi="Arial"/>
          <w:color w:val="333333"/>
          <w:sz w:val="22"/>
          <w:szCs w:val="22"/>
        </w:rPr>
        <w:t xml:space="preserve"> Records VerificationReceipts (confirm/revert decisions) in SQLite. Confirmed capabilities trigger an update to the manifest file.</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Analytics:</w:t>
      </w:r>
      <w:r>
        <w:rPr>
          <w:rFonts w:ascii="Arial" w:cs="Arial" w:eastAsia="Arial" w:hAnsi="Arial"/>
          <w:color w:val="333333"/>
          <w:sz w:val="22"/>
          <w:szCs w:val="22"/>
        </w:rPr>
        <w:t xml:space="preserve"> Tracks override rates per developer, exception patterns over time, and aggregate capability trends across the repository’s history.</w:t>
      </w:r>
    </w:p>
    <w:p>
      <w:pPr>
        <w:spacing w:after="80"/>
      </w:pPr>
      <w:r>
        <w:t xml:space="preserve"/>
      </w:r>
    </w:p>
    <w:p>
      <w:pPr>
        <w:pStyle w:val="Heading2"/>
      </w:pPr>
      <w:r>
        <w:t xml:space="preserve">4.4 The UI (HTMX + Templ)</w:t>
      </w:r>
    </w:p>
    <w:p>
      <w:pPr>
        <w:spacing w:after="160" w:line="300"/>
      </w:pPr>
      <w:r>
        <w:rPr>
          <w:rFonts w:ascii="Arial" w:cs="Arial" w:eastAsia="Arial" w:hAnsi="Arial"/>
          <w:color w:val="333333"/>
          <w:sz w:val="22"/>
          <w:szCs w:val="22"/>
        </w:rPr>
        <w:t xml:space="preserve">The verification interface is server-rendered HTML using Templ (type-safe Go templates) with HTMX for interactivity. This is not a complex SPA—it is a list of capability cards with confirm/revert buttons. Server rendering eliminates an entire frontend build pipeline and keeps the UI inside the same Go binary.</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Verification Cards:</w:t>
      </w:r>
      <w:r>
        <w:rPr>
          <w:rFonts w:ascii="Arial" w:cs="Arial" w:eastAsia="Arial" w:hAnsi="Arial"/>
          <w:color w:val="333333"/>
          <w:sz w:val="22"/>
          <w:szCs w:val="22"/>
        </w:rPr>
        <w:t xml:space="preserve"> Each novel capability is displayed as a card showing what was detected, where in the code it lives, and the detection layer that caught it.</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One-Click Decisions:</w:t>
      </w:r>
      <w:r>
        <w:rPr>
          <w:rFonts w:ascii="Arial" w:cs="Arial" w:eastAsia="Arial" w:hAnsi="Arial"/>
          <w:color w:val="333333"/>
          <w:sz w:val="22"/>
          <w:szCs w:val="22"/>
        </w:rPr>
        <w:t xml:space="preserve"> Confirm or Revert with optional justification text. HTMX handles the interaction without a full page reload.</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Exception Dashboard:</w:t>
      </w:r>
      <w:r>
        <w:rPr>
          <w:rFonts w:ascii="Arial" w:cs="Arial" w:eastAsia="Arial" w:hAnsi="Arial"/>
          <w:color w:val="333333"/>
          <w:sz w:val="22"/>
          <w:szCs w:val="22"/>
        </w:rPr>
        <w:t xml:space="preserve"> Aggregated view of all confirmed novel capabilities per developer, per repo, over time. Identifies “click-through” patterns.</w:t>
      </w:r>
    </w:p>
    <w:p>
      <w:pPr>
        <w:spacing w:after="80"/>
      </w:pPr>
      <w:r>
        <w:t xml:space="preserve"/>
      </w:r>
    </w:p>
    <w:p>
      <w:pPr>
        <w:pStyle w:val="Heading2"/>
      </w:pPr>
      <w:r>
        <w:t xml:space="preserve">4.5 Development Approach</w:t>
      </w:r>
    </w:p>
    <w:p>
      <w:pPr>
        <w:spacing w:after="160" w:line="300"/>
      </w:pPr>
      <w:r>
        <w:rPr>
          <w:rFonts w:ascii="Arial" w:cs="Arial" w:eastAsia="Arial" w:hAnsi="Arial"/>
          <w:color w:val="333333"/>
          <w:sz w:val="22"/>
          <w:szCs w:val="22"/>
        </w:rPr>
        <w:t xml:space="preserve">As a solo-developer project, the technical approach prioritizes end-to-end integration over feature depth. The development methodology follows a “Walking Skeleton” pattern: building the thinnest possible slice through scanning, manifest diffing, and verification before adding depth to any one layer.</w:t>
      </w:r>
    </w:p>
    <w:p>
      <w:pPr>
        <w:spacing w:after="160" w:line="300"/>
      </w:pPr>
      <w:r>
        <w:rPr>
          <w:rFonts w:ascii="Arial" w:cs="Arial" w:eastAsia="Arial" w:hAnsi="Arial"/>
          <w:color w:val="333333"/>
          <w:sz w:val="22"/>
          <w:szCs w:val="22"/>
        </w:rPr>
        <w:t xml:space="preserve">Work is organized into 2–4 hour implementation sessions, with each session producing a testable increment. The single-language architecture dramatically reduces context-switching overhead, making these short sessions highly productive.</w:t>
      </w:r>
    </w:p>
    <w:p>
      <w:r>
        <w:r>
          <w:br w:type="page"/>
        </w:r>
      </w:r>
    </w:p>
    <w:p>
      <w:pPr>
        <w:pStyle w:val="Heading1"/>
      </w:pPr>
      <w:r>
        <w:t xml:space="preserve">5. Layered Detection Strategy</w:t>
      </w:r>
    </w:p>
    <w:p>
      <w:pPr>
        <w:spacing w:after="160" w:line="300"/>
      </w:pPr>
      <w:r>
        <w:rPr>
          <w:rFonts w:ascii="Arial" w:cs="Arial" w:eastAsia="Arial" w:hAnsi="Arial"/>
          <w:color w:val="333333"/>
          <w:sz w:val="22"/>
          <w:szCs w:val="22"/>
        </w:rPr>
        <w:t xml:space="preserve">TASS uses a layered detection approach that starts with the simplest possible mechanism and adds sophistication only where needed. This is a deliberate design philosophy: prefer deterministic, auditable detection over clever inference.</w:t>
      </w:r>
    </w:p>
    <w:p>
      <w:pPr>
        <w:pStyle w:val="Heading2"/>
      </w:pPr>
      <w:r>
        <w:t xml:space="preserve">5.1 Layer 0: Dependency Diffing</w:t>
      </w:r>
    </w:p>
    <w:p>
      <w:pPr>
        <w:spacing w:after="160" w:line="300"/>
      </w:pPr>
      <w:r>
        <w:rPr>
          <w:rFonts w:ascii="Arial" w:cs="Arial" w:eastAsia="Arial" w:hAnsi="Arial"/>
          <w:color w:val="333333"/>
          <w:sz w:val="22"/>
          <w:szCs w:val="22"/>
        </w:rPr>
        <w:t xml:space="preserve">The first detection layer is almost trivially simple: diff the dependency files between the base branch and the PR branch. A new line in go.mod, a new entry in requirements.txt, a new package in package.json—each represents a new external dependency and therefore a new capability.</w:t>
      </w:r>
    </w:p>
    <w:p>
      <w:pPr>
        <w:spacing w:after="160" w:line="300"/>
      </w:pPr>
      <w:r>
        <w:rPr>
          <w:rFonts w:ascii="Arial" w:cs="Arial" w:eastAsia="Arial" w:hAnsi="Arial"/>
          <w:color w:val="333333"/>
          <w:sz w:val="22"/>
          <w:szCs w:val="22"/>
        </w:rPr>
        <w:t xml:space="preserve">This layer catches an estimated 80% of the capabilities TASS cares about, because most infrastructure-level capabilities enter a codebase through external dependencies. Adding Stripe means adding the Stripe SDK. Adding S3 access means adding the AWS SDK. The dependency file is the canary.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8"/>
              <w:bottom w:val="single" w:color="2E8B57" w:sz="2"/>
              <w:right w:val="single" w:color="2E8B57" w:sz="2"/>
            </w:tcBorders>
            <w:shd w:fill="EAF5EA" w:val="clear"/>
            <w:tcMar>
              <w:top w:type="dxa" w:w="140"/>
              <w:left w:type="dxa" w:w="200"/>
              <w:bottom w:type="dxa" w:w="140"/>
              <w:right w:type="dxa" w:w="200"/>
            </w:tcMar>
          </w:tcPr>
          <w:p>
            <w:pPr>
              <w:spacing w:after="80"/>
            </w:pPr>
            <w:r>
              <w:rPr>
                <w:rFonts w:ascii="Arial" w:cs="Arial" w:eastAsia="Arial" w:hAnsi="Arial"/>
                <w:b/>
                <w:bCs/>
                <w:color w:val="1B3A5C"/>
                <w:sz w:val="22"/>
                <w:szCs w:val="22"/>
              </w:rPr>
              <w:t xml:space="preserve">Why This Matters</w:t>
            </w:r>
          </w:p>
          <w:p>
            <w:pPr>
              <w:spacing w:after="0" w:line="280"/>
            </w:pPr>
            <w:r>
              <w:rPr>
                <w:rFonts w:ascii="Arial" w:cs="Arial" w:eastAsia="Arial" w:hAnsi="Arial"/>
                <w:color w:val="333333"/>
                <w:sz w:val="20"/>
                <w:szCs w:val="20"/>
              </w:rPr>
              <w:t xml:space="preserve">Layer 0 is essentially free to implement—it’s structured file diffing. Yet it catches the highest-signal capability changes. This means TASS delivers value from day one of development, before a single Tree-sitter query is written.</w:t>
            </w:r>
          </w:p>
        </w:tc>
      </w:tr>
    </w:tbl>
    <w:p>
      <w:pPr>
        <w:spacing w:after="120"/>
      </w:pPr>
      <w:r>
        <w:t xml:space="preserve"/>
      </w:r>
    </w:p>
    <w:p>
      <w:pPr>
        <w:pStyle w:val="Heading2"/>
      </w:pPr>
      <w:r>
        <w:t xml:space="preserve">5.2 Layer 1: Tree-sitter AST Queries</w:t>
      </w:r>
    </w:p>
    <w:p>
      <w:pPr>
        <w:spacing w:after="160" w:line="300"/>
      </w:pPr>
      <w:r>
        <w:rPr>
          <w:rFonts w:ascii="Arial" w:cs="Arial" w:eastAsia="Arial" w:hAnsi="Arial"/>
          <w:color w:val="333333"/>
          <w:sz w:val="22"/>
          <w:szCs w:val="22"/>
        </w:rPr>
        <w:t xml:space="preserve">The second layer handles capabilities that don’t show up in dependency files: usage of standard library networking, file system operations, database calls through already-present ORMs, and privilege-related patterns.</w:t>
      </w:r>
    </w:p>
    <w:p>
      <w:pPr>
        <w:spacing w:after="160" w:line="300"/>
      </w:pPr>
      <w:r>
        <w:rPr>
          <w:rFonts w:ascii="Arial" w:cs="Arial" w:eastAsia="Arial" w:hAnsi="Arial"/>
          <w:color w:val="333333"/>
          <w:sz w:val="22"/>
          <w:szCs w:val="22"/>
        </w:rPr>
        <w:t xml:space="preserve">Tree-sitter provides language-agnostic AST parsing with a powerful S-expression query language. Detection rules are written as declarative .scm query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0F8" w:val="clear"/>
            <w:tcMar>
              <w:top w:type="dxa" w:w="140"/>
              <w:left w:type="dxa" w:w="200"/>
              <w:bottom w:type="dxa" w:w="140"/>
              <w:right w:type="dxa" w:w="200"/>
            </w:tcMar>
          </w:tcPr>
          <w:p>
            <w:pPr>
              <w:spacing w:after="80"/>
            </w:pPr>
            <w:r>
              <w:rPr>
                <w:rFonts w:ascii="Arial" w:cs="Arial" w:eastAsia="Arial" w:hAnsi="Arial"/>
                <w:b/>
                <w:bCs/>
                <w:color w:val="1B3A5C"/>
                <w:sz w:val="22"/>
                <w:szCs w:val="22"/>
              </w:rPr>
              <w:t xml:space="preserve">Example: Detecting HTTP Client Usage in Go</w:t>
            </w:r>
          </w:p>
          <w:p>
            <w:pPr>
              <w:spacing w:after="0" w:line="280"/>
            </w:pPr>
            <w:r>
              <w:rPr>
                <w:rFonts w:ascii="Arial" w:cs="Arial" w:eastAsia="Arial" w:hAnsi="Arial"/>
                <w:color w:val="333333"/>
                <w:sz w:val="20"/>
                <w:szCs w:val="20"/>
              </w:rPr>
              <w:t xml:space="preserve">(call_expression
  function: (selector_expression
    operand: (identifier) @pkg
    field: (field_identifier) @method)
  (#match? @pkg "http")
  (#match? @method "Get|Post|Put|Delete"))</w:t>
            </w:r>
          </w:p>
        </w:tc>
      </w:tr>
    </w:tbl>
    <w:p>
      <w:pPr>
        <w:spacing w:after="120"/>
      </w:pPr>
      <w:r>
        <w:t xml:space="preserve"/>
      </w:r>
    </w:p>
    <w:p>
      <w:pPr>
        <w:spacing w:after="160" w:line="300"/>
      </w:pPr>
      <w:r>
        <w:rPr>
          <w:rFonts w:ascii="Arial" w:cs="Arial" w:eastAsia="Arial" w:hAnsi="Arial"/>
          <w:color w:val="333333"/>
          <w:sz w:val="22"/>
          <w:szCs w:val="22"/>
        </w:rPr>
        <w:t xml:space="preserve">The critical architectural insight is that </w:t>
      </w:r>
      <w:r>
        <w:rPr>
          <w:rFonts w:ascii="Arial" w:cs="Arial" w:eastAsia="Arial" w:hAnsi="Arial"/>
          <w:b/>
          <w:bCs/>
          <w:sz w:val="22"/>
          <w:szCs w:val="22"/>
        </w:rPr>
        <w:t xml:space="preserve">detection rules are data, not code.</w:t>
      </w:r>
      <w:r>
        <w:rPr>
          <w:rFonts w:ascii="Arial" w:cs="Arial" w:eastAsia="Arial" w:hAnsi="Arial"/>
          <w:color w:val="333333"/>
          <w:sz w:val="22"/>
          <w:szCs w:val="22"/>
        </w:rPr>
        <w:t xml:space="preserve"> They live in a rules/ directory, organized by language and capability type. Adding support for a new language means writing query files, not modifying the scanner binary. This also opens the door to community-contributed rules.</w:t>
      </w:r>
    </w:p>
    <w:p>
      <w:pPr>
        <w:spacing w:after="160" w:line="300"/>
      </w:pPr>
      <w:r>
        <w:rPr>
          <w:rFonts w:ascii="Arial" w:cs="Arial" w:eastAsia="Arial" w:hAnsi="Arial"/>
          <w:color w:val="333333"/>
          <w:sz w:val="22"/>
          <w:szCs w:val="22"/>
        </w:rPr>
        <w:t xml:space="preserve">Go bindings for Tree-sitter (smacker/go-tree-sitter) are actively maintained and provide access to grammars for all major languages. Rules are loaded at runtime, so the scanner binary supports new languages without recompilation.</w:t>
      </w:r>
    </w:p>
    <w:p>
      <w:pPr>
        <w:pStyle w:val="Heading2"/>
      </w:pPr>
      <w:r>
        <w:t xml:space="preserve">5.3 Layer 2: Stack Graphs (Future)</w:t>
      </w:r>
    </w:p>
    <w:p>
      <w:pPr>
        <w:spacing w:after="160" w:line="300"/>
      </w:pPr>
      <w:r>
        <w:rPr>
          <w:rFonts w:ascii="Arial" w:cs="Arial" w:eastAsia="Arial" w:hAnsi="Arial"/>
          <w:color w:val="333333"/>
          <w:sz w:val="22"/>
          <w:szCs w:val="22"/>
        </w:rPr>
        <w:t xml:space="preserve">Stack Graphs are a formalism built on top of Tree-sitter by the GitHub code navigation team. They solve the limitation Tree-sitter has with name resolution—the ability to determine that s.create() refers to stripe.charges.create when s is an alias.</w:t>
      </w:r>
    </w:p>
    <w:p>
      <w:pPr>
        <w:spacing w:after="160" w:line="300"/>
      </w:pPr>
      <w:r>
        <w:rPr>
          <w:rFonts w:ascii="Arial" w:cs="Arial" w:eastAsia="Arial" w:hAnsi="Arial"/>
          <w:color w:val="333333"/>
          <w:sz w:val="22"/>
          <w:szCs w:val="22"/>
        </w:rPr>
        <w:t xml:space="preserve">This layer is not needed for v3.0 launch but represents the natural evolution path when Tree-sitter query precision becomes a limiting factor. Stack Graphs would enable TASS to make definitive statements like “this call resolves to the Stripe SDK” rather than “this looks like it might be calling something named stripe.” The library is Rust-based, with potential for integration via CGO or as a separate preprocessing step.</w:t>
      </w:r>
    </w:p>
    <w:p>
      <w:pPr>
        <w:pStyle w:val="Heading2"/>
      </w:pPr>
      <w:r>
        <w:t xml:space="preserve">5.4 Detection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4400"/>
      </w:tblGrid>
      <w:tr>
        <w:trPr>
          <w:tblHeader/>
        </w:trPr>
        <w:tc>
          <w:tcPr>
            <w:tcW w:type="dxa" w:w="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Catches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1</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Diff dependency files (go.mod, requirements.txt, etc.)</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~80% of new capabilities (new external deps)</w:t>
            </w:r>
          </w:p>
        </w:tc>
      </w:tr>
      <w:tr>
        <w:tc>
          <w:tcPr>
            <w:tcW w:type="dxa" w:w="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2</w:t>
            </w:r>
          </w:p>
        </w:tc>
        <w:tc>
          <w:tcPr>
            <w:tcW w:type="dxa" w:w="43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Run Tree-sitter queries on changed source files</w:t>
            </w:r>
          </w:p>
        </w:tc>
        <w:tc>
          <w:tcPr>
            <w:tcW w:type="dxa" w:w="4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~15% more (stdlib usage, patterns, privilege changes)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3</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Diff combined results against tass.manifest.yaml</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Surfaces only net-new capabilities</w:t>
            </w:r>
          </w:p>
        </w:tc>
      </w:tr>
      <w:tr>
        <w:tc>
          <w:tcPr>
            <w:tcW w:type="dxa" w:w="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4</w:t>
            </w:r>
          </w:p>
        </w:tc>
        <w:tc>
          <w:tcPr>
            <w:tcW w:type="dxa" w:w="43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Present novel capabilities for developer verification</w:t>
            </w:r>
          </w:p>
        </w:tc>
        <w:tc>
          <w:tcPr>
            <w:tcW w:type="dxa" w:w="4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Binary confirm/revert decision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5</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Update manifest on confirmation</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Baseline evolves with the codebase</w:t>
            </w:r>
          </w:p>
        </w:tc>
      </w:tr>
    </w:tbl>
    <w:p>
      <w:pPr>
        <w:spacing w:after="120"/>
      </w:pPr>
      <w:r>
        <w:t xml:space="preserve"/>
      </w:r>
    </w:p>
    <w:p>
      <w:r>
        <w:r>
          <w:br w:type="page"/>
        </w:r>
      </w:r>
    </w:p>
    <w:p>
      <w:pPr>
        <w:pStyle w:val="Heading1"/>
      </w:pPr>
      <w:r>
        <w:t xml:space="preserve">6. The Declarative Manifest</w:t>
      </w:r>
    </w:p>
    <w:p>
      <w:pPr>
        <w:spacing w:after="160" w:line="300"/>
      </w:pPr>
      <w:r>
        <w:rPr>
          <w:rFonts w:ascii="Arial" w:cs="Arial" w:eastAsia="Arial" w:hAnsi="Arial"/>
          <w:color w:val="333333"/>
          <w:sz w:val="22"/>
          <w:szCs w:val="22"/>
        </w:rPr>
        <w:t xml:space="preserve">The tass.manifest.yaml is the single most important design decision in TASS v3.0. It replaces the originally planned inferred baseline with an explicit, version-controlled declaration of a repository’s known capabilities.</w:t>
      </w:r>
    </w:p>
    <w:p>
      <w:pPr>
        <w:pStyle w:val="Heading2"/>
      </w:pPr>
      <w:r>
        <w:t xml:space="preserve">6.1 Why Declarative Over Inferred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7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Inferred Baseline (Original)</w:t>
            </w:r>
          </w:p>
        </w:tc>
        <w:tc>
          <w:tcPr>
            <w:tcW w:type="dxa" w:w="37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Declarative Manifest (Revised)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Accuracy</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Probabilistic (~95% target, hard to guarantee)</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Deterministic (100% against declared capabilities)</w:t>
            </w:r>
          </w:p>
        </w:tc>
      </w:tr>
      <w:tr>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Onboarding</w:t>
            </w:r>
          </w:p>
        </w:tc>
        <w:tc>
          <w:tcPr>
            <w:tcW w:type="dxa" w:w="37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Zero manual work (fully automatic)</w:t>
            </w:r>
          </w:p>
        </w:tc>
        <w:tc>
          <w:tcPr>
            <w:tcW w:type="dxa" w:w="37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One-time review (~10–15 min for typical repo)</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Auditability</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Opaque (why did it flag/not flag this?)</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Fully transparent (it’s a YAML file in the repo)</w:t>
            </w:r>
          </w:p>
        </w:tc>
      </w:tr>
      <w:tr>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False Positives</w:t>
            </w:r>
          </w:p>
        </w:tc>
        <w:tc>
          <w:tcPr>
            <w:tcW w:type="dxa" w:w="37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Dependent on algorithm quality</w:t>
            </w:r>
          </w:p>
        </w:tc>
        <w:tc>
          <w:tcPr>
            <w:tcW w:type="dxa" w:w="37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Zero against declared baseline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Version Control</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Stored in separate database</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Committed to repo, diffable, reviewable</w:t>
            </w:r>
          </w:p>
        </w:tc>
      </w:tr>
      <w:tr>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Portability</w:t>
            </w:r>
          </w:p>
        </w:tc>
        <w:tc>
          <w:tcPr>
            <w:tcW w:type="dxa" w:w="37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Tied to TASS instance</w:t>
            </w:r>
          </w:p>
        </w:tc>
        <w:tc>
          <w:tcPr>
            <w:tcW w:type="dxa" w:w="37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Travels with the code (forkable, transferable)</w:t>
            </w:r>
          </w:p>
        </w:tc>
      </w:tr>
    </w:tbl>
    <w:p>
      <w:pPr>
        <w:spacing w:after="120"/>
      </w:pPr>
      <w:r>
        <w:t xml:space="preserve"/>
      </w:r>
    </w:p>
    <w:p>
      <w:pPr>
        <w:spacing w:after="160" w:line="300"/>
      </w:pPr>
      <w:r>
        <w:rPr>
          <w:rFonts w:ascii="Arial" w:cs="Arial" w:eastAsia="Arial" w:hAnsi="Arial"/>
          <w:color w:val="333333"/>
          <w:sz w:val="22"/>
          <w:szCs w:val="22"/>
        </w:rPr>
        <w:t xml:space="preserve">The one-time onboarding cost is a deliberate trade-off. Reviewing a generated manifest is an activity developers already understand—it’s the same motion as reviewing a generated .gitignore or linter config. In exchange, TASS eliminates the entire class of “is my baseline accurate?” problems that would otherwise require continuous calibration.</w:t>
      </w:r>
    </w:p>
    <w:p>
      <w:pPr>
        <w:pStyle w:val="Heading2"/>
      </w:pPr>
      <w:r>
        <w:t xml:space="preserve">6.2 The Manifest as Behavioral SBOM</w:t>
      </w:r>
    </w:p>
    <w:p>
      <w:pPr>
        <w:spacing w:after="160" w:line="300"/>
      </w:pPr>
      <w:r>
        <w:rPr>
          <w:rFonts w:ascii="Arial" w:cs="Arial" w:eastAsia="Arial" w:hAnsi="Arial"/>
          <w:color w:val="333333"/>
          <w:sz w:val="22"/>
          <w:szCs w:val="22"/>
        </w:rPr>
        <w:t xml:space="preserve">The manifest file is not just a baseline—it is the </w:t>
      </w:r>
      <w:r>
        <w:rPr>
          <w:rFonts w:ascii="Arial" w:cs="Arial" w:eastAsia="Arial" w:hAnsi="Arial"/>
          <w:b/>
          <w:bCs/>
          <w:sz w:val="22"/>
          <w:szCs w:val="22"/>
        </w:rPr>
        <w:t xml:space="preserve">Behavioral Software Bill of Materials</w:t>
      </w:r>
      <w:r>
        <w:rPr>
          <w:rFonts w:ascii="Arial" w:cs="Arial" w:eastAsia="Arial" w:hAnsi="Arial"/>
          <w:color w:val="333333"/>
          <w:sz w:val="22"/>
          <w:szCs w:val="22"/>
        </w:rPr>
        <w:t xml:space="preserve"> for the repository. It is a signed, timestamped, version-controlled record of what the code can do: which external services it talks to, what database operations it performs, what network access it requires, and what file system operations it executes.</w:t>
      </w:r>
    </w:p>
    <w:p>
      <w:pPr>
        <w:spacing w:after="160" w:line="300"/>
      </w:pPr>
      <w:r>
        <w:rPr>
          <w:rFonts w:ascii="Arial" w:cs="Arial" w:eastAsia="Arial" w:hAnsi="Arial"/>
          <w:color w:val="333333"/>
          <w:sz w:val="22"/>
          <w:szCs w:val="22"/>
        </w:rPr>
        <w:t xml:space="preserve">This realization has a profound strategic implication: the Behavioral SBOM—originally planned as a Phase 2 deliverable—falls out of the core mechanic for free. From the very first commit of tass.manifest.yaml, every repository using TASS has a Behavioral SBOM. This dramatically accelerates the moat-building timeline and creates an early artifact that other tools can consume.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40E" w:sz="2"/>
              <w:left w:val="single" w:color="D4740E" w:sz="8"/>
              <w:bottom w:val="single" w:color="D4740E" w:sz="2"/>
              <w:right w:val="single" w:color="D4740E" w:sz="2"/>
            </w:tcBorders>
            <w:shd w:fill="FFF3E6" w:val="clear"/>
            <w:tcMar>
              <w:top w:type="dxa" w:w="140"/>
              <w:left w:type="dxa" w:w="200"/>
              <w:bottom w:type="dxa" w:w="140"/>
              <w:right w:type="dxa" w:w="200"/>
            </w:tcMar>
          </w:tcPr>
          <w:p>
            <w:pPr>
              <w:spacing w:after="80"/>
            </w:pPr>
            <w:r>
              <w:rPr>
                <w:rFonts w:ascii="Arial" w:cs="Arial" w:eastAsia="Arial" w:hAnsi="Arial"/>
                <w:b/>
                <w:bCs/>
                <w:color w:val="1B3A5C"/>
                <w:sz w:val="22"/>
                <w:szCs w:val="22"/>
              </w:rPr>
              <w:t xml:space="preserve">The .gitignore Analogy</w:t>
            </w:r>
          </w:p>
          <w:p>
            <w:pPr>
              <w:spacing w:after="0" w:line="280"/>
            </w:pPr>
            <w:r>
              <w:rPr>
                <w:rFonts w:ascii="Arial" w:cs="Arial" w:eastAsia="Arial" w:hAnsi="Arial"/>
                <w:color w:val="333333"/>
                <w:sz w:val="20"/>
                <w:szCs w:val="20"/>
              </w:rPr>
              <w:t xml:space="preserve">Just as .gitignore declares what files a repo intentionally excludes from version control, tass.manifest.yaml declares what capabilities a repo intentionally includes in its behavior. Both are committed to the repo, reviewed by the team, and evolve with the codebase. Developers already understand this pattern.</w:t>
            </w:r>
          </w:p>
        </w:tc>
      </w:tr>
    </w:tbl>
    <w:p>
      <w:pPr>
        <w:spacing w:after="120"/>
      </w:pPr>
      <w:r>
        <w:t xml:space="preserve"/>
      </w:r>
    </w:p>
    <w:p>
      <w:pPr>
        <w:pStyle w:val="Heading2"/>
      </w:pPr>
      <w:r>
        <w:t xml:space="preserve">6.3 Manifest as Open Specification</w:t>
      </w:r>
    </w:p>
    <w:p>
      <w:pPr>
        <w:spacing w:after="160" w:line="300"/>
      </w:pPr>
      <w:r>
        <w:rPr>
          <w:rFonts w:ascii="Arial" w:cs="Arial" w:eastAsia="Arial" w:hAnsi="Arial"/>
          <w:color w:val="333333"/>
          <w:sz w:val="22"/>
          <w:szCs w:val="22"/>
        </w:rPr>
        <w:t xml:space="preserve">The manifest format will be published as an open specification under a permissive license. If other tools begin reading and writing tass.manifest.yaml files, TASS becomes the standard rather than merely a tool. Standards are nearly impossible to displace—this is the deepest layer of competitive moat.</w:t>
      </w:r>
    </w:p>
    <w:p>
      <w:pPr>
        <w:spacing w:after="160" w:line="300"/>
      </w:pPr>
      <w:r>
        <w:rPr>
          <w:rFonts w:ascii="Arial" w:cs="Arial" w:eastAsia="Arial" w:hAnsi="Arial"/>
          <w:color w:val="333333"/>
          <w:sz w:val="22"/>
          <w:szCs w:val="22"/>
        </w:rPr>
        <w:t xml:space="preserve">The specification will be published on GitHub with clear documentation, schema definitions, and example files. The goal is for the manifest format to become to behavioral capabilities what CycloneDX and SPDX are to software dependencies.</w:t>
      </w:r>
    </w:p>
    <w:p>
      <w:r>
        <w:r>
          <w:br w:type="page"/>
        </w:r>
      </w:r>
    </w:p>
    <w:p>
      <w:pPr>
        <w:pStyle w:val="Heading1"/>
      </w:pPr>
      <w:r>
        <w:t xml:space="preserve">7. Market Opportunity &amp; Business Model</w:t>
      </w:r>
    </w:p>
    <w:p>
      <w:pPr>
        <w:pStyle w:val="Heading2"/>
      </w:pPr>
      <w:r>
        <w:t xml:space="preserve">7.1 Market Context</w:t>
      </w:r>
    </w:p>
    <w:p>
      <w:pPr>
        <w:spacing w:after="160" w:line="300"/>
      </w:pPr>
      <w:r>
        <w:rPr>
          <w:rFonts w:ascii="Arial" w:cs="Arial" w:eastAsia="Arial" w:hAnsi="Arial"/>
          <w:color w:val="333333"/>
          <w:sz w:val="22"/>
          <w:szCs w:val="22"/>
        </w:rPr>
        <w:t xml:space="preserve">The AI code generation market is experiencing explosive growth. With over 30 million developers now using AI-assisted coding tools, the volume of machine-generated code entering production systems is increasing faster than security practices can adapt. This creates a widening gap between code production velocity and code review quality—the exact gap TASS is designed to fill.</w:t>
      </w:r>
    </w:p>
    <w:p>
      <w:pPr>
        <w:pStyle w:val="Heading2"/>
      </w:pPr>
      <w:r>
        <w:t xml:space="preserve">7.2 Target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000"/>
        <w:gridCol w:w="1960"/>
      </w:tblGrid>
      <w:tr>
        <w:trPr>
          <w:tblHeader/>
        </w:trPr>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Event</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Buyer</w:t>
            </w:r>
          </w:p>
        </w:tc>
        <w:tc>
          <w:tcPr>
            <w:tcW w:type="dxa" w:w="1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Sales Cycle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Post-incident companies (fintech, healthcare, SaaS)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Recent breach, failed audit, near-miss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CISO or VP Engineering</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3–6 months</w:t>
            </w:r>
          </w:p>
        </w:tc>
      </w:tr>
      <w:tr>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Fast-growing startups using AI code gen</w:t>
            </w:r>
          </w:p>
        </w:tc>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First security hire, SOC2 needed, Series B</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Tech founder or first security engineer</w:t>
            </w:r>
          </w:p>
        </w:tc>
        <w:tc>
          <w:tcPr>
            <w:tcW w:type="dxa" w:w="19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1–2 months</w:t>
            </w:r>
          </w:p>
        </w:tc>
      </w:tr>
    </w:tbl>
    <w:p>
      <w:pPr>
        <w:spacing w:after="120"/>
      </w:pPr>
      <w:r>
        <w:t xml:space="preserve"/>
      </w:r>
    </w:p>
    <w:p>
      <w:pPr>
        <w:pStyle w:val="Heading2"/>
      </w:pPr>
      <w:r>
        <w:t xml:space="preserve">7.3 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rPr>
          <w:tblHeader/>
        </w:trP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Revenue Potential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Phase 1 (PR Tool)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100K paying developers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$50/dev/month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$60M ARR</w:t>
            </w:r>
          </w:p>
        </w:tc>
      </w:tr>
      <w:tr>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Phase 2+ (Platform)</w:t>
            </w:r>
          </w:p>
        </w:tc>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Enterprise expansion</w:t>
            </w:r>
          </w:p>
        </w:tc>
        <w:tc>
          <w:tcPr>
            <w:tcW w:type="dxa" w:w="21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Usage + seat-based</w:t>
            </w:r>
          </w:p>
        </w:tc>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$200M ARR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Implied valuation at maturity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$1–2B company</w:t>
            </w:r>
          </w:p>
        </w:tc>
      </w:tr>
    </w:tbl>
    <w:p>
      <w:pPr>
        <w:spacing w:after="120"/>
      </w:pPr>
      <w:r>
        <w:t xml:space="preserve"/>
      </w:r>
    </w:p>
    <w:p>
      <w:pPr>
        <w:pStyle w:val="Heading2"/>
      </w:pPr>
      <w:r>
        <w:t xml:space="preserve">7.4 Go-to-Market Strategy</w:t>
      </w:r>
    </w:p>
    <w:p>
      <w:pPr>
        <w:spacing w:after="160" w:line="300"/>
      </w:pPr>
      <w:r>
        <w:rPr>
          <w:rFonts w:ascii="Arial" w:cs="Arial" w:eastAsia="Arial" w:hAnsi="Arial"/>
          <w:color w:val="333333"/>
          <w:sz w:val="22"/>
          <w:szCs w:val="22"/>
        </w:rPr>
        <w:t xml:space="preserve">The GTM strategy is designed for a solo founder and leverages the single-binary architecture as a distribution advantage:</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Zero-Friction Install.</w:t>
      </w:r>
      <w:r>
        <w:rPr>
          <w:rFonts w:ascii="Arial" w:cs="Arial" w:eastAsia="Arial" w:hAnsi="Arial"/>
          <w:color w:val="333333"/>
          <w:sz w:val="22"/>
          <w:szCs w:val="22"/>
        </w:rPr>
        <w:t xml:space="preserve"> Download one binary. Run tass init. Review the generated manifest. Commit. Done. No Docker, no cloud signup, no procurement. The single-binary architecture means TASS has the lowest possible barrier to trial.</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Developer-First Positioning.</w:t>
      </w:r>
      <w:r>
        <w:rPr>
          <w:rFonts w:ascii="Arial" w:cs="Arial" w:eastAsia="Arial" w:hAnsi="Arial"/>
          <w:color w:val="333333"/>
          <w:sz w:val="22"/>
          <w:szCs w:val="22"/>
        </w:rPr>
        <w:t xml:space="preserve"> TASS is positioned as a developer productivity tool that happens to improve security—not a security compliance tool that happens to be developer-friendly. This matters for adoption velocity.</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Manifest-Driven Expansion.</w:t>
      </w:r>
      <w:r>
        <w:rPr>
          <w:rFonts w:ascii="Arial" w:cs="Arial" w:eastAsia="Arial" w:hAnsi="Arial"/>
          <w:color w:val="333333"/>
          <w:sz w:val="22"/>
          <w:szCs w:val="22"/>
        </w:rPr>
        <w:t xml:space="preserve"> Once tass.manifest.yaml is committed to a repo, it becomes visible to the entire team. Other developers see it, understand it, and start using TASS on their repos. The manifest file is a built-in viral mechanism.</w:t>
      </w:r>
    </w:p>
    <w:p>
      <w:pPr>
        <w:spacing w:after="80"/>
      </w:pPr>
      <w:r>
        <w:t xml:space="preserve"/>
      </w:r>
    </w:p>
    <w:p>
      <w:pPr>
        <w:pStyle w:val="Heading2"/>
      </w:pPr>
      <w:r>
        <w:t xml:space="preserve">7.5 Business Model</w:t>
      </w:r>
    </w:p>
    <w:p>
      <w:pPr>
        <w:spacing w:after="160" w:line="300"/>
      </w:pPr>
      <w:r>
        <w:rPr>
          <w:rFonts w:ascii="Arial" w:cs="Arial" w:eastAsia="Arial" w:hAnsi="Arial"/>
          <w:color w:val="333333"/>
          <w:sz w:val="22"/>
          <w:szCs w:val="22"/>
        </w:rPr>
        <w:t xml:space="preserve">Phase 1 targets $500K ARR within 12 months from approximately 1,000 paying developers at $50/dev/month. The model emphasizes low customer acquisition cost (under $1K through self-serve) and high lifetime value ($100K+ as teams expand). Net revenue retention is projected at 120%+, driven by seat expansion and the natural stickiness of a committed manifest file (switching costs increase as the manifest accumulates institutional knowledge).</w:t>
      </w:r>
    </w:p>
    <w:p>
      <w:r>
        <w:r>
          <w:br w:type="page"/>
        </w:r>
      </w:r>
    </w:p>
    <w:p>
      <w:pPr>
        <w:pStyle w:val="Heading1"/>
      </w:pPr>
      <w:r>
        <w:t xml:space="preserve">8. Roadmap &amp; Phased Strategy</w:t>
      </w:r>
    </w:p>
    <w:p>
      <w:pPr>
        <w:spacing w:after="160" w:line="300"/>
      </w:pPr>
      <w:r>
        <w:rPr>
          <w:rFonts w:ascii="Arial" w:cs="Arial" w:eastAsia="Arial" w:hAnsi="Arial"/>
          <w:color w:val="333333"/>
          <w:sz w:val="22"/>
          <w:szCs w:val="22"/>
        </w:rPr>
        <w:t xml:space="preserve">The roadmap is designed as a progressive expansion from a focused developer tool to a platform play, with each phase building on the assets created in the previous one. Policy generation is interleaved earlier than originally planned to strengthen the competitive position against platform risk.</w:t>
      </w:r>
    </w:p>
    <w:p>
      <w:pPr>
        <w:pStyle w:val="Heading2"/>
      </w:pPr>
      <w:r>
        <w:t xml:space="preserve">8.1 Phase 1: PR Tool + Manifest (Months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Layer 0 Detection</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Dependency file diffing for go.mod, requirements.txt, package.json, Cargo.toml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Critical</w:t>
            </w:r>
          </w:p>
        </w:tc>
      </w:tr>
      <w:tr>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Layer 1 Detection</w:t>
            </w:r>
          </w:p>
        </w:tc>
        <w:tc>
          <w:tcPr>
            <w:tcW w:type="dxa" w:w="49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Tree-sitter AST queries for Python, Go, JavaScript</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Critical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Declarative Manifest</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tass init generates manifest; PR flow diffs against it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Critical</w:t>
            </w:r>
          </w:p>
        </w:tc>
      </w:tr>
      <w:tr>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Verification UI</w:t>
            </w:r>
          </w:p>
        </w:tc>
        <w:tc>
          <w:tcPr>
            <w:tcW w:type="dxa" w:w="49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HTMX + Templ confirm/revert interface</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Critical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Exception Workflow</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Justification capture, exception logging, override rate tracking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High</w:t>
            </w:r>
          </w:p>
        </w:tc>
      </w:tr>
      <w:tr>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Basic Policy Generation</w:t>
            </w:r>
          </w:p>
        </w:tc>
        <w:tc>
          <w:tcPr>
            <w:tcW w:type="dxa" w:w="49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Generate skeleton Kubernetes NetworkPolicy from manifest</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High</w:t>
            </w:r>
          </w:p>
        </w:tc>
      </w:tr>
    </w:tbl>
    <w:p>
      <w:pPr>
        <w:spacing w:after="80"/>
      </w:pPr>
      <w:r>
        <w:t xml:space="preserve"/>
      </w:r>
    </w:p>
    <w:p>
      <w:pPr>
        <w:spacing w:after="160" w:line="300"/>
      </w:pPr>
      <w:r>
        <w:rPr>
          <w:rFonts w:ascii="Arial" w:cs="Arial" w:eastAsia="Arial" w:hAnsi="Arial"/>
          <w:color w:val="333333"/>
          <w:sz w:val="22"/>
          <w:szCs w:val="22"/>
        </w:rPr>
        <w:t xml:space="preserve"/>
      </w:r>
      <w:r>
        <w:rPr>
          <w:rFonts w:ascii="Arial" w:cs="Arial" w:eastAsia="Arial" w:hAnsi="Arial"/>
          <w:b/>
          <w:bCs/>
          <w:sz w:val="22"/>
          <w:szCs w:val="22"/>
        </w:rPr>
        <w:t xml:space="preserve">Phase 1 Goal:</w:t>
      </w:r>
      <w:r>
        <w:rPr>
          <w:rFonts w:ascii="Arial" w:cs="Arial" w:eastAsia="Arial" w:hAnsi="Arial"/>
          <w:color w:val="333333"/>
          <w:sz w:val="22"/>
          <w:szCs w:val="22"/>
        </w:rPr>
        <w:t xml:space="preserve"> 1,000 paying developers, $500K ARR. Validate the core hypothesis that developers will engage with capability verification rather than clicking through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40E" w:sz="2"/>
              <w:left w:val="single" w:color="D4740E" w:sz="8"/>
              <w:bottom w:val="single" w:color="D4740E" w:sz="2"/>
              <w:right w:val="single" w:color="D4740E" w:sz="2"/>
            </w:tcBorders>
            <w:shd w:fill="FFF3E6" w:val="clear"/>
            <w:tcMar>
              <w:top w:type="dxa" w:w="140"/>
              <w:left w:type="dxa" w:w="200"/>
              <w:bottom w:type="dxa" w:w="140"/>
              <w:right w:type="dxa" w:w="200"/>
            </w:tcMar>
          </w:tcPr>
          <w:p>
            <w:pPr>
              <w:spacing w:after="80"/>
            </w:pPr>
            <w:r>
              <w:rPr>
                <w:rFonts w:ascii="Arial" w:cs="Arial" w:eastAsia="Arial" w:hAnsi="Arial"/>
                <w:b/>
                <w:bCs/>
                <w:color w:val="1B3A5C"/>
                <w:sz w:val="22"/>
                <w:szCs w:val="22"/>
              </w:rPr>
              <w:t xml:space="preserve">Why Policy Generation in Phase 1</w:t>
            </w:r>
          </w:p>
          <w:p>
            <w:pPr>
              <w:spacing w:after="0" w:line="280"/>
            </w:pPr>
            <w:r>
              <w:rPr>
                <w:rFonts w:ascii="Arial" w:cs="Arial" w:eastAsia="Arial" w:hAnsi="Arial"/>
                <w:color w:val="333333"/>
                <w:sz w:val="20"/>
                <w:szCs w:val="20"/>
              </w:rPr>
              <w:t xml:space="preserve">Moving basic policy generation into Phase 1 is a strategic decision, not a feature decision. If TASS is only a PR comment bot, GitHub can clone it in a quarter. If TASS generates Kubernetes NetworkPolicies from day one, it occupies a fundamentally different competitive position. The manifest already contains all the data needed—the policy generator is a relatively thin transformation layer on top of it.</w:t>
            </w:r>
          </w:p>
        </w:tc>
      </w:tr>
    </w:tbl>
    <w:p>
      <w:pPr>
        <w:spacing w:after="120"/>
      </w:pPr>
      <w:r>
        <w:t xml:space="preserve"/>
      </w:r>
    </w:p>
    <w:p>
      <w:pPr>
        <w:pStyle w:val="Heading2"/>
      </w:pPr>
      <w:r>
        <w:t xml:space="preserve">8.2 Phase 2: Full Policy Engine (Months 12–24)</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Kubernetes NetworkPolicy Generation:</w:t>
      </w:r>
      <w:r>
        <w:rPr>
          <w:rFonts w:ascii="Arial" w:cs="Arial" w:eastAsia="Arial" w:hAnsi="Arial"/>
          <w:color w:val="333333"/>
          <w:sz w:val="22"/>
          <w:szCs w:val="22"/>
        </w:rPr>
        <w:t xml:space="preserve"> Full-featured network policies restricting pod communication to only the APIs and services declared in the manifest.</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AWS IAM Policy Generation:</w:t>
      </w:r>
      <w:r>
        <w:rPr>
          <w:rFonts w:ascii="Arial" w:cs="Arial" w:eastAsia="Arial" w:hAnsi="Arial"/>
          <w:color w:val="333333"/>
          <w:sz w:val="22"/>
          <w:szCs w:val="22"/>
        </w:rPr>
        <w:t xml:space="preserve"> Least-privilege IAM policies derived from detected AWS SDK calls—if the code only uses S3 GetObject, the policy only allows S3 GetObject.</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Manifest Spec Publication:</w:t>
      </w:r>
      <w:r>
        <w:rPr>
          <w:rFonts w:ascii="Arial" w:cs="Arial" w:eastAsia="Arial" w:hAnsi="Arial"/>
          <w:color w:val="333333"/>
          <w:sz w:val="22"/>
          <w:szCs w:val="22"/>
        </w:rPr>
        <w:t xml:space="preserve"> Open-source the manifest format specification. Begin ecosystem development.</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Target:</w:t>
      </w:r>
      <w:r>
        <w:rPr>
          <w:rFonts w:ascii="Arial" w:cs="Arial" w:eastAsia="Arial" w:hAnsi="Arial"/>
          <w:color w:val="333333"/>
          <w:sz w:val="22"/>
          <w:szCs w:val="22"/>
        </w:rPr>
        <w:t xml:space="preserve"> 100 customers (team/org licenses), $2M ARR.</w:t>
      </w:r>
    </w:p>
    <w:p>
      <w:pPr>
        <w:spacing w:after="80"/>
      </w:pPr>
      <w:r>
        <w:t xml:space="preserve"/>
      </w:r>
    </w:p>
    <w:p>
      <w:pPr>
        <w:pStyle w:val="Heading2"/>
      </w:pPr>
      <w:r>
        <w:t xml:space="preserve">8.3 Phase 3: Capability Graph (Months 24–36)</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Cross-Customer Intelligence:</w:t>
      </w:r>
      <w:r>
        <w:rPr>
          <w:rFonts w:ascii="Arial" w:cs="Arial" w:eastAsia="Arial" w:hAnsi="Arial"/>
          <w:color w:val="333333"/>
          <w:sz w:val="22"/>
          <w:szCs w:val="22"/>
        </w:rPr>
        <w:t xml:space="preserve"> Anonymized, aggregated capability data creates a behavioral intelligence layer (“This pattern has never been seen across any TASS customer”).</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Risk Scoring:</w:t>
      </w:r>
      <w:r>
        <w:rPr>
          <w:rFonts w:ascii="Arial" w:cs="Arial" w:eastAsia="Arial" w:hAnsi="Arial"/>
          <w:color w:val="333333"/>
          <w:sz w:val="22"/>
          <w:szCs w:val="22"/>
        </w:rPr>
        <w:t xml:space="preserve"> Capabilities scored based on prevalence, context, and historical outcomes across the network.</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Target:</w:t>
      </w:r>
      <w:r>
        <w:rPr>
          <w:rFonts w:ascii="Arial" w:cs="Arial" w:eastAsia="Arial" w:hAnsi="Arial"/>
          <w:color w:val="333333"/>
          <w:sz w:val="22"/>
          <w:szCs w:val="22"/>
        </w:rPr>
        <w:t xml:space="preserve"> 50 enterprise customers, $10M ARR.</w:t>
      </w:r>
    </w:p>
    <w:p>
      <w:pPr>
        <w:spacing w:after="80"/>
      </w:pPr>
      <w:r>
        <w:t xml:space="preserve"/>
      </w:r>
    </w:p>
    <w:p>
      <w:pPr>
        <w:pStyle w:val="Heading2"/>
      </w:pPr>
      <w:r>
        <w:t xml:space="preserve">8.4 Phase 4: Platform (Years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Partner Type</w:t>
            </w:r>
          </w:p>
        </w:tc>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Partners</w:t>
            </w:r>
          </w:p>
        </w:tc>
        <w:tc>
          <w:tcPr>
            <w:tcW w:type="dxa" w:w="4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Runtime Monitoring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Wiz, Lacework</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Manifest capabilities → runtime behavior correlation</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Vulnerability Data</w:t>
            </w:r>
          </w:p>
        </w:tc>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Snyk</w:t>
            </w:r>
          </w:p>
        </w:tc>
        <w:tc>
          <w:tcPr>
            <w:tcW w:type="dxa" w:w="43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Manifest behavioral context enriches vulnerability findings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Cloud Security Posture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Various CSPM tools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TASS policy generation feeds into posture management</w:t>
            </w:r>
          </w:p>
        </w:tc>
      </w:tr>
    </w:tbl>
    <w:p>
      <w:pPr>
        <w:spacing w:after="80"/>
      </w:pPr>
      <w:r>
        <w:t xml:space="preserve"/>
      </w:r>
    </w:p>
    <w:p>
      <w:pPr>
        <w:spacing w:after="160" w:line="300"/>
      </w:pPr>
      <w:r>
        <w:rPr>
          <w:rFonts w:ascii="Arial" w:cs="Arial" w:eastAsia="Arial" w:hAnsi="Arial"/>
          <w:color w:val="333333"/>
          <w:sz w:val="22"/>
          <w:szCs w:val="22"/>
        </w:rPr>
        <w:t xml:space="preserve">The critical discipline in Phase 4 is knowing what not to build. TASS should never build its own runtime monitoring. The platform value comes from being the authoritative source of “what code can do” (via the manifest standard) and letting partners handle “what code is doing.”</w:t>
      </w:r>
    </w:p>
    <w:p>
      <w:r>
        <w:r>
          <w:br w:type="page"/>
        </w:r>
      </w:r>
    </w:p>
    <w:p>
      <w:pPr>
        <w:pStyle w:val="Heading1"/>
      </w:pPr>
      <w:r>
        <w:t xml:space="preserve">9. Key Metrics &amp; Success Criteria</w:t>
      </w:r>
    </w:p>
    <w:p>
      <w:pPr>
        <w:pStyle w:val="Heading2"/>
      </w:pPr>
      <w:r>
        <w:t xml:space="preserve">9.1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40E" w:sz="2"/>
              <w:left w:val="single" w:color="D4740E" w:sz="8"/>
              <w:bottom w:val="single" w:color="D4740E" w:sz="2"/>
              <w:right w:val="single" w:color="D4740E" w:sz="2"/>
            </w:tcBorders>
            <w:shd w:fill="FFF3E6" w:val="clear"/>
            <w:tcMar>
              <w:top w:type="dxa" w:w="140"/>
              <w:left w:type="dxa" w:w="200"/>
              <w:bottom w:type="dxa" w:w="140"/>
              <w:right w:type="dxa" w:w="200"/>
            </w:tcMar>
          </w:tcPr>
          <w:p>
            <w:pPr>
              <w:spacing w:after="80"/>
            </w:pPr>
            <w:r>
              <w:rPr>
                <w:rFonts w:ascii="Arial" w:cs="Arial" w:eastAsia="Arial" w:hAnsi="Arial"/>
                <w:b/>
                <w:bCs/>
                <w:color w:val="1B3A5C"/>
                <w:sz w:val="22"/>
                <w:szCs w:val="22"/>
              </w:rPr>
              <w:t xml:space="preserve">North Star: Unsafe Capabilities Reverted</w:t>
            </w:r>
          </w:p>
          <w:p>
            <w:pPr>
              <w:spacing w:after="0" w:line="280"/>
            </w:pPr>
            <w:r>
              <w:rPr>
                <w:rFonts w:ascii="Arial" w:cs="Arial" w:eastAsia="Arial" w:hAnsi="Arial"/>
                <w:color w:val="333333"/>
                <w:sz w:val="20"/>
                <w:szCs w:val="20"/>
              </w:rPr>
              <w:t xml:space="preserve">The number of capabilities that developers chose to revert after TASS flagged them, measured per customer per quarter. This directly measures the security value TASS delivers—capabilities that would have shipped to production without human review.</w:t>
            </w:r>
          </w:p>
        </w:tc>
      </w:tr>
    </w:tbl>
    <w:p>
      <w:pPr>
        <w:spacing w:after="120"/>
      </w:pPr>
      <w:r>
        <w:t xml:space="preserve"/>
      </w:r>
    </w:p>
    <w:p>
      <w:pPr>
        <w:pStyle w:val="Heading2"/>
      </w:pPr>
      <w:r>
        <w:t xml:space="preserve">9.2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Time to first detection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&lt; 30 seconds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Developer experience—slow scans kill adoption</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Manifest accuracy (first-run)</w:t>
            </w:r>
          </w:p>
        </w:tc>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&gt; 90% capabilities captured</w:t>
            </w:r>
          </w:p>
        </w:tc>
        <w:tc>
          <w:tcPr>
            <w:tcW w:type="dxa" w:w="4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Onboarding quality—missed capabilities in init erode trust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False positive rate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&lt; 5% (vs. manifest)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Effectively zero against declared baseline; residual FP from detection layer imprecision</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Developer NPS</w:t>
            </w:r>
          </w:p>
        </w:tc>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40+</w:t>
            </w:r>
          </w:p>
        </w:tc>
        <w:tc>
          <w:tcPr>
            <w:tcW w:type="dxa" w:w="4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Proxy for “will this tool survive first contact with real developers”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Override rate per developer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&lt; 50%</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Above 50%, the tool has become a rubber stamp itself</w:t>
            </w:r>
          </w:p>
        </w:tc>
      </w:tr>
    </w:tbl>
    <w:p>
      <w:pPr>
        <w:spacing w:after="120"/>
      </w:pPr>
      <w:r>
        <w:t xml:space="preserve"/>
      </w:r>
    </w:p>
    <w:p>
      <w:pPr>
        <w:pStyle w:val="Heading2"/>
      </w:pPr>
      <w:r>
        <w:t xml:space="preserve">9.3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 1 Target</w:t>
            </w:r>
          </w:p>
        </w:tc>
        <w:tc>
          <w:tcPr>
            <w:tcW w:type="dxa" w:w="3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MRR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$100K by Month 12</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~1,000 devs at $50/mo + team licenses</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Customer Acquisition Cost</w:t>
            </w:r>
          </w:p>
        </w:tc>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&lt; $1,000</w:t>
            </w:r>
          </w:p>
        </w:tc>
        <w:tc>
          <w:tcPr>
            <w:tcW w:type="dxa" w:w="39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Self-serve GTM; single binary = zero friction trial</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Lifetime Value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$100K+</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Driven by seat expansion within orgs</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Net Revenue Retention</w:t>
            </w:r>
          </w:p>
        </w:tc>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120%+</w:t>
            </w:r>
          </w:p>
        </w:tc>
        <w:tc>
          <w:tcPr>
            <w:tcW w:type="dxa" w:w="39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Expansion from individual → team → org</w:t>
            </w:r>
          </w:p>
        </w:tc>
      </w:tr>
    </w:tbl>
    <w:p>
      <w:pPr>
        <w:spacing w:after="120"/>
      </w:pPr>
      <w:r>
        <w:t xml:space="preserve"/>
      </w:r>
    </w:p>
    <w:p>
      <w:pPr>
        <w:pStyle w:val="Heading1"/>
      </w:pPr>
      <w:r>
        <w:t xml:space="preserve">10. Competitive Moat &amp; Defensibility</w:t>
      </w:r>
    </w:p>
    <w:p>
      <w:pPr>
        <w:spacing w:after="160" w:line="300"/>
      </w:pPr>
      <w:r>
        <w:rPr>
          <w:rFonts w:ascii="Arial" w:cs="Arial" w:eastAsia="Arial" w:hAnsi="Arial"/>
          <w:color w:val="333333"/>
          <w:sz w:val="22"/>
          <w:szCs w:val="22"/>
        </w:rPr>
        <w:t xml:space="preserve">TASS’s revised architecture creates four layers of defensibility, each reinforcing the others:</w:t>
      </w:r>
    </w:p>
    <w:p>
      <w:pPr>
        <w:pStyle w:val="Heading2"/>
      </w:pPr>
      <w:r>
        <w:t xml:space="preserve">10.1 The Manifest Standard</w:t>
      </w:r>
    </w:p>
    <w:p>
      <w:pPr>
        <w:spacing w:after="160" w:line="300"/>
      </w:pPr>
      <w:r>
        <w:rPr>
          <w:rFonts w:ascii="Arial" w:cs="Arial" w:eastAsia="Arial" w:hAnsi="Arial"/>
          <w:color w:val="333333"/>
          <w:sz w:val="22"/>
          <w:szCs w:val="22"/>
        </w:rPr>
        <w:t xml:space="preserve">The highest-value strategic asset. If tass.manifest.yaml becomes the industry-standard format for declaring code capabilities, TASS becomes the canonical tool for generating and managing it—even if competitors emerge. Standards are nearly impossible to displace once adopted. Publishing the spec as open-source accelerates adoption while maintaining TASS’s position as the reference implementation.</w:t>
      </w:r>
    </w:p>
    <w:p>
      <w:pPr>
        <w:pStyle w:val="Heading2"/>
      </w:pPr>
      <w:r>
        <w:t xml:space="preserve">10.2 Committed Manifest = Switching Costs</w:t>
      </w:r>
    </w:p>
    <w:p>
      <w:pPr>
        <w:spacing w:after="160" w:line="300"/>
      </w:pPr>
      <w:r>
        <w:rPr>
          <w:rFonts w:ascii="Arial" w:cs="Arial" w:eastAsia="Arial" w:hAnsi="Arial"/>
          <w:color w:val="333333"/>
          <w:sz w:val="22"/>
          <w:szCs w:val="22"/>
        </w:rPr>
        <w:t xml:space="preserve">Once tass.manifest.yaml is committed to a repository and integrated into CI/CD, it becomes part of the codebase’s infrastructure. The manifest accumulates institutional knowledge (why certain capabilities were approved, who approved them, when). Switching to a competitor means abandoning this history or building a migration tool.</w:t>
      </w:r>
    </w:p>
    <w:p>
      <w:pPr>
        <w:pStyle w:val="Heading2"/>
      </w:pPr>
      <w:r>
        <w:t xml:space="preserve">10.3 Policy Generation Moat</w:t>
      </w:r>
    </w:p>
    <w:p>
      <w:pPr>
        <w:spacing w:after="160" w:line="300"/>
      </w:pPr>
      <w:r>
        <w:rPr>
          <w:rFonts w:ascii="Arial" w:cs="Arial" w:eastAsia="Arial" w:hAnsi="Arial"/>
          <w:color w:val="333333"/>
          <w:sz w:val="22"/>
          <w:szCs w:val="22"/>
        </w:rPr>
        <w:t xml:space="preserve">By generating Kubernetes NetworkPolicies and IAM policies from the manifest, TASS occupies a position that’s fundamentally harder to clone than a PR comment bot. Platform vendors (GitHub, GitLab) can ship capability detection. They are unlikely to ship infrastructure policy generation—that crosses organizational boundaries within their companies.</w:t>
      </w:r>
    </w:p>
    <w:p>
      <w:pPr>
        <w:pStyle w:val="Heading2"/>
      </w:pPr>
      <w:r>
        <w:t xml:space="preserve">10.4 Cross-Customer Capability Graph (Phase 3+)</w:t>
      </w:r>
    </w:p>
    <w:p>
      <w:pPr>
        <w:spacing w:after="160" w:line="300"/>
      </w:pPr>
      <w:r>
        <w:rPr>
          <w:rFonts w:ascii="Arial" w:cs="Arial" w:eastAsia="Arial" w:hAnsi="Arial"/>
          <w:color w:val="333333"/>
          <w:sz w:val="22"/>
          <w:szCs w:val="22"/>
        </w:rPr>
        <w:t xml:space="preserve">The network-effect moat. Anonymized capability data from all TASS customers creates a behavioral intelligence layer that individual customers cannot replicate. Similar to how Snyk’s vulnerability database improves with every customer, TASS’s capability graph becomes more valuable with scale.</w:t>
      </w:r>
    </w:p>
    <w:p>
      <w:r>
        <w:r>
          <w:br w:type="page"/>
        </w:r>
      </w: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6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Tree-sitter detection misses capabilities in source (Layer 1 gaps)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High</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Layer 0 catches ~80% via dependency diffs. Layer 1 gaps are additive misses, not false positives. Declarative rules (.scm files) allow rapid iteration.</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Manifest review fatigue (developers skip first-run review)</w:t>
            </w:r>
          </w:p>
        </w:tc>
        <w:tc>
          <w:tcPr>
            <w:tcW w:type="dxa" w:w="1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Medium</w:t>
            </w:r>
          </w:p>
        </w:tc>
        <w:tc>
          <w:tcPr>
            <w:tcW w:type="dxa" w:w="61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Generate manifest with clear categories and inline comments. Keep format simple (YAML). Target &lt; 15 min review for typical repos.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“Confirm All” spam (developers clicking through everything)</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High</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Track override rates per dev, require justification (min 10 chars), escalate if &gt; 50% override rate. Dashboard visibility creates social pressure.</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Platform risk (GitHub ships native capability detection)</w:t>
            </w:r>
          </w:p>
        </w:tc>
        <w:tc>
          <w:tcPr>
            <w:tcW w:type="dxa" w:w="1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High</w:t>
            </w:r>
          </w:p>
        </w:tc>
        <w:tc>
          <w:tcPr>
            <w:tcW w:type="dxa" w:w="61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Manifest-as-standard + policy generation create defensible position. If GitHub adopts the manifest format, TASS wins anyway.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Solo developer execution risk</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Medium</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Single Go binary eliminates multi-language overhead. Walking Skeleton approach. 2–4 hour sessions. Zero infrastructure to maintain.</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Market timing</w:t>
            </w:r>
          </w:p>
        </w:tc>
        <w:tc>
          <w:tcPr>
            <w:tcW w:type="dxa" w:w="1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Low</w:t>
            </w:r>
          </w:p>
        </w:tc>
        <w:tc>
          <w:tcPr>
            <w:tcW w:type="dxa" w:w="61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AI code gen adoption is mainstream now. The window is open.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8"/>
              <w:bottom w:val="single" w:color="2E8B57" w:sz="2"/>
              <w:right w:val="single" w:color="2E8B57" w:sz="2"/>
            </w:tcBorders>
            <w:shd w:fill="EAF5EA" w:val="clear"/>
            <w:tcMar>
              <w:top w:type="dxa" w:w="140"/>
              <w:left w:type="dxa" w:w="200"/>
              <w:bottom w:type="dxa" w:w="140"/>
              <w:right w:type="dxa" w:w="200"/>
            </w:tcMar>
          </w:tcPr>
          <w:p>
            <w:pPr>
              <w:spacing w:after="80"/>
            </w:pPr>
            <w:r>
              <w:rPr>
                <w:rFonts w:ascii="Arial" w:cs="Arial" w:eastAsia="Arial" w:hAnsi="Arial"/>
                <w:b/>
                <w:bCs/>
                <w:color w:val="1B3A5C"/>
                <w:sz w:val="22"/>
                <w:szCs w:val="22"/>
              </w:rPr>
              <w:t xml:space="preserve">Key Insight: Declarative Manifest Reduces Risk</w:t>
            </w:r>
          </w:p>
          <w:p>
            <w:pPr>
              <w:spacing w:after="0" w:line="280"/>
            </w:pPr>
            <w:r>
              <w:rPr>
                <w:rFonts w:ascii="Arial" w:cs="Arial" w:eastAsia="Arial" w:hAnsi="Arial"/>
                <w:color w:val="333333"/>
                <w:sz w:val="20"/>
                <w:szCs w:val="20"/>
              </w:rPr>
              <w:t xml:space="preserve">The shift from inferred baseline to declarative manifest eliminates the single biggest technical risk from the original plan—baseline accuracy. The original architecture required a 95% accuracy target for an inference algorithm that hadn’t been built. The revised architecture achieves 100% accuracy against the declared baseline by definition. The remaining risk is detection layer coverage, which is additive (catches more over time) rather than foundational (must work or everything breaks).</w:t>
            </w:r>
          </w:p>
        </w:tc>
      </w:tr>
    </w:tbl>
    <w:p>
      <w:pPr>
        <w:spacing w:after="120"/>
      </w:pPr>
      <w:r>
        <w:t xml:space="preserve"/>
      </w:r>
    </w:p>
    <w:p>
      <w:pPr>
        <w:pStyle w:val="Heading1"/>
      </w:pPr>
      <w:r>
        <w:t xml:space="preserve">12. Scope Boundaries</w:t>
      </w:r>
    </w:p>
    <w:p>
      <w:pPr>
        <w:spacing w:after="160" w:line="300"/>
      </w:pPr>
      <w:r>
        <w:rPr>
          <w:rFonts w:ascii="Arial" w:cs="Arial" w:eastAsia="Arial" w:hAnsi="Arial"/>
          <w:color w:val="333333"/>
          <w:sz w:val="22"/>
          <w:szCs w:val="22"/>
        </w:rPr>
        <w:t xml:space="preserve">Equally important as knowing what to build is knowing what not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Don’t Build</w:t>
            </w:r>
          </w:p>
        </w:tc>
        <w:tc>
          <w:tcPr>
            <w:tcW w:type="dxa" w:w="3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3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Runtime monitoring</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Competitive graveyard (Wiz, Lacework)</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Partner integration in Phase 4</w:t>
            </w:r>
          </w:p>
        </w:tc>
      </w:tr>
      <w:tr>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AI agent pre-flight constraints</w:t>
            </w:r>
          </w:p>
        </w:tc>
        <w:tc>
          <w:tcPr>
            <w:tcW w:type="dxa" w:w="3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Market not ready, APIs don’t exist yet</w:t>
            </w:r>
          </w:p>
        </w:tc>
        <w:tc>
          <w:tcPr>
            <w:tcW w:type="dxa" w:w="3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Revisit in 18–24 months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Full vulnerability detection</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Snyk’s territory, well-served market</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Stay in capability lane, complement SAST</w:t>
            </w:r>
          </w:p>
        </w:tc>
      </w:tr>
      <w:tr>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Compliance-first GTM</w:t>
            </w:r>
          </w:p>
        </w:tc>
        <w:tc>
          <w:tcPr>
            <w:tcW w:type="dxa" w:w="3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Wrong buyer persona, long enterprise sales cycles</w:t>
            </w:r>
          </w:p>
        </w:tc>
        <w:tc>
          <w:tcPr>
            <w:tcW w:type="dxa" w:w="3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Security as outcome, developer as buyer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ML-based baseline inference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Probabilistic accuracy creates foundational risk</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Declarative manifest (deterministic, auditable)</w:t>
            </w:r>
          </w:p>
        </w:tc>
      </w:tr>
    </w:tbl>
    <w:p>
      <w:pPr>
        <w:spacing w:after="120"/>
      </w:pPr>
      <w:r>
        <w:t xml:space="preserve"/>
      </w:r>
    </w:p>
    <w:p>
      <w:pPr>
        <w:pStyle w:val="Heading1"/>
      </w:pPr>
      <w:r>
        <w:t xml:space="preserve">13. UX Principles &amp; Tone</w:t>
      </w:r>
    </w:p>
    <w:p>
      <w:pPr>
        <w:spacing w:after="160" w:line="300"/>
      </w:pPr>
      <w:r>
        <w:rPr>
          <w:rFonts w:ascii="Arial" w:cs="Arial" w:eastAsia="Arial" w:hAnsi="Arial"/>
          <w:color w:val="333333"/>
          <w:sz w:val="22"/>
          <w:szCs w:val="22"/>
        </w:rPr>
        <w:t xml:space="preserve">TASS’s user experience should feel like a helpful assistant, not an adversarial security cop. Tone matters enormously for developer adoption—a tool that feels punitive will be worked around, not worked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Don’t Say</w:t>
            </w:r>
          </w:p>
        </w:tc>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Say Instead</w:t>
            </w:r>
          </w:p>
        </w:tc>
        <w:tc>
          <w:tcPr>
            <w:tcW w:type="dxa" w:w="3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“Liability Log”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“Decision Record”</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Liability implies blame; decision implies agency</w:t>
            </w:r>
          </w:p>
        </w:tc>
      </w:tr>
      <w:tr>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“Accept Risk”</w:t>
            </w:r>
          </w:p>
        </w:tc>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“Create Exception”</w:t>
            </w:r>
          </w:p>
        </w:tc>
        <w:tc>
          <w:tcPr>
            <w:tcW w:type="dxa" w:w="37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Risk framing triggers avoidance; exception is neutral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“Disagreement Engine” (externally)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“Verification Layer”</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Disagreement sounds adversarial; verification sounds helpful</w:t>
            </w:r>
          </w:p>
        </w:tc>
      </w:tr>
      <w:tr>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“Danger! Unauthorized capability!”</w:t>
            </w:r>
          </w:p>
        </w:tc>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“New capability detected. Confirm?”</w:t>
            </w:r>
          </w:p>
        </w:tc>
        <w:tc>
          <w:tcPr>
            <w:tcW w:type="dxa" w:w="37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Alarm language causes alert fatigue; neutral language invites engagement</w:t>
            </w:r>
          </w:p>
        </w:tc>
      </w:tr>
    </w:tbl>
    <w:p>
      <w:pPr>
        <w:spacing w:after="120"/>
      </w:pPr>
      <w:r>
        <w:t xml:space="preserve"/>
      </w:r>
    </w:p>
    <w:p>
      <w:pPr>
        <w:spacing w:after="160" w:line="300"/>
      </w:pPr>
      <w:r>
        <w:rPr>
          <w:rFonts w:ascii="Arial" w:cs="Arial" w:eastAsia="Arial" w:hAnsi="Arial"/>
          <w:color w:val="333333"/>
          <w:sz w:val="22"/>
          <w:szCs w:val="22"/>
        </w:rPr>
        <w:t xml:space="preserve">The guiding principle is respect for the developer’s time and intelligence. TASS assumes the developer is competent and made a deliberate choice—it just wants to confirm that the choice was intentional. This framing transforms the interaction from interrogation to collaboration.</w:t>
      </w:r>
    </w:p>
    <w:p>
      <w:r>
        <w:r>
          <w:br w:type="page"/>
        </w:r>
      </w:r>
    </w:p>
    <w:p>
      <w:pPr>
        <w:pStyle w:val="Heading1"/>
      </w:pPr>
      <w:r>
        <w:t xml:space="preserve">14. Decision Points &amp; Next Steps</w:t>
      </w:r>
    </w:p>
    <w:p>
      <w:pPr>
        <w:pStyle w:val="Heading2"/>
      </w:pPr>
      <w:r>
        <w:t xml:space="preserve">14.1 Immediate Next Steps</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Go Monorepo Setup.</w:t>
      </w:r>
      <w:r>
        <w:rPr>
          <w:rFonts w:ascii="Arial" w:cs="Arial" w:eastAsia="Arial" w:hAnsi="Arial"/>
          <w:color w:val="333333"/>
          <w:sz w:val="22"/>
          <w:szCs w:val="22"/>
        </w:rPr>
        <w:t xml:space="preserve"> Initialize the Go module with package structure: cmd/tass, internal/scanner, internal/brain, internal/ui, pkg/manifest, pkg/contracts.</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Manifest Schema Design.</w:t>
      </w:r>
      <w:r>
        <w:rPr>
          <w:rFonts w:ascii="Arial" w:cs="Arial" w:eastAsia="Arial" w:hAnsi="Arial"/>
          <w:color w:val="333333"/>
          <w:sz w:val="22"/>
          <w:szCs w:val="22"/>
        </w:rPr>
        <w:t xml:space="preserve"> Define the tass.manifest.yaml format. Publish initial schema documentation. This is the foundational data contract for the entire system.</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Layer 0 Implementation.</w:t>
      </w:r>
      <w:r>
        <w:rPr>
          <w:rFonts w:ascii="Arial" w:cs="Arial" w:eastAsia="Arial" w:hAnsi="Arial"/>
          <w:color w:val="333333"/>
          <w:sz w:val="22"/>
          <w:szCs w:val="22"/>
        </w:rPr>
        <w:t xml:space="preserve"> Build dependency file parsing for go.mod, requirements.txt, and package.json. This delivers immediate value with minimal complexity.</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Walking Skeleton.</w:t>
      </w:r>
      <w:r>
        <w:rPr>
          <w:rFonts w:ascii="Arial" w:cs="Arial" w:eastAsia="Arial" w:hAnsi="Arial"/>
          <w:color w:val="333333"/>
          <w:sz w:val="22"/>
          <w:szCs w:val="22"/>
        </w:rPr>
        <w:t xml:space="preserve"> Get a single PR scanned (Layer 0), diffed against a manifest, and presented for verification in the HTMX UI. End-to-end, thinnest slice.</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Layer 1 Rules.</w:t>
      </w:r>
      <w:r>
        <w:rPr>
          <w:rFonts w:ascii="Arial" w:cs="Arial" w:eastAsia="Arial" w:hAnsi="Arial"/>
          <w:color w:val="333333"/>
          <w:sz w:val="22"/>
          <w:szCs w:val="22"/>
        </w:rPr>
        <w:t xml:space="preserve"> Write initial Tree-sitter query files for Go, Python, and JavaScript. Focus on HTTP clients, database operations, and network access.</w:t>
      </w:r>
    </w:p>
    <w:p>
      <w:pPr>
        <w:spacing w:after="80"/>
      </w:pPr>
      <w:r>
        <w:t xml:space="preserve"/>
      </w:r>
    </w:p>
    <w:p>
      <w:pPr>
        <w:pStyle w:val="Heading2"/>
      </w:pPr>
      <w:r>
        <w:t xml:space="preserve">14.2 Key Decision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Options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Manifest format finalization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After testing on 5 real repos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Iterate format based on real-world manifest review feedback</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Language expansion priority</w:t>
            </w:r>
          </w:p>
        </w:tc>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Phase 1 traction data</w:t>
            </w:r>
          </w:p>
        </w:tc>
        <w:tc>
          <w:tcPr>
            <w:tcW w:type="dxa" w:w="49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Add languages based on customer demand, not completeness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Stack Graphs investment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Layer 1 false positive rates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If Tree-sitter precision is sufficient, defer. If not, invest in Layer 2.</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Cloud hosting for Brain</w:t>
            </w:r>
          </w:p>
        </w:tc>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First 100 customers</w:t>
            </w:r>
          </w:p>
        </w:tc>
        <w:tc>
          <w:tcPr>
            <w:tcW w:type="dxa" w:w="49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Start local-only; add hosted option if demand warrants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Hiring first engineer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Approaching $500K ARR</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2"/>
                <w:szCs w:val="22"/>
              </w:rPr>
              <w:t xml:space="preserve">Solo development is a feature until it becomes a bottleneck</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Open-source manifest spec timing</w:t>
            </w:r>
          </w:p>
        </w:tc>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Phase 1 stable</w:t>
            </w:r>
          </w:p>
        </w:tc>
        <w:tc>
          <w:tcPr>
            <w:tcW w:type="dxa" w:w="49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2"/>
                <w:szCs w:val="22"/>
              </w:rPr>
              <w:t xml:space="preserve">Publish early enough to establish standard, late enough to be credible</w:t>
            </w:r>
          </w:p>
        </w:tc>
      </w:tr>
    </w:tbl>
    <w:p>
      <w:pPr>
        <w:spacing w:after="120"/>
      </w:pPr>
      <w:r>
        <w:t xml:space="preserve"/>
      </w:r>
    </w:p>
    <w:p>
      <w:pPr>
        <w:pStyle w:val="Heading2"/>
      </w:pPr>
      <w:r>
        <w:t xml:space="preserve">14.3 Current Status</w:t>
      </w:r>
    </w:p>
    <w:p>
      <w:pPr>
        <w:spacing w:after="160" w:line="300"/>
      </w:pPr>
      <w:r>
        <w:rPr>
          <w:rFonts w:ascii="Arial" w:cs="Arial" w:eastAsia="Arial" w:hAnsi="Arial"/>
          <w:color w:val="333333"/>
          <w:sz w:val="22"/>
          <w:szCs w:val="22"/>
        </w:rPr>
        <w:t xml:space="preserve">v3.0 architecture has been revised to a single Go binary with declarative manifest, layered detection, and HTMX+Templ UI. The revised architecture eliminates the foundational risk of inferred baseline accuracy and reduces development surface area from three languages to one.</w:t>
      </w:r>
    </w:p>
    <w:p>
      <w:pPr>
        <w:spacing w:after="160" w:line="300"/>
      </w:pPr>
      <w:r>
        <w:rPr>
          <w:rFonts w:ascii="Arial" w:cs="Arial" w:eastAsia="Arial" w:hAnsi="Arial"/>
          <w:color w:val="333333"/>
          <w:sz w:val="22"/>
          <w:szCs w:val="22"/>
        </w:rPr>
        <w:t xml:space="preserve">The single most important next action is designing the manifest schema and testing it against real repositories. The manifest format is the load-bearing architectural decision—every other component (detection, verification, policy generation, the open specification) depends on getting this right. Manifest schema design should be the focus of the first 2–4 hour development session.</w:t>
      </w:r>
    </w:p>
    <w:p>
      <w:pPr>
        <w:spacing w:after="400"/>
      </w:pPr>
      <w:r>
        <w:t xml:space="preserve"/>
      </w:r>
    </w:p>
    <w:p>
      <w:pPr>
        <w:pBdr>
          <w:top w:val="single" w:color="2E75B6" w:sz="2" w:space="8"/>
        </w:pBdr>
        <w:spacing w:before="200"/>
        <w:jc w:val="center"/>
      </w:pPr>
      <w:r>
        <w:rPr>
          <w:rFonts w:ascii="Arial" w:cs="Arial" w:eastAsia="Arial" w:hAnsi="Arial"/>
          <w:i/>
          <w:iCs/>
          <w:color w:val="666666"/>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666666"/>
        <w:sz w:val="16"/>
        <w:szCs w:val="16"/>
      </w:rPr>
      <w:t xml:space="preserve">TASS v3.0 — Internal Overview (Revised)</w:t>
    </w:r>
    <w:r>
      <w:rPr>
        <w:rFonts w:ascii="Arial" w:cs="Arial" w:eastAsia="Arial" w:hAnsi="Arial"/>
        <w:color w:val="666666"/>
        <w:sz w:val="16"/>
        <w:szCs w:val="16"/>
      </w:rPr>
      <w:ptab w:alignment="right" w:relativeTo="margin" w:leader="none"/>
    </w:r>
    <w:r>
      <w:rPr>
        <w:rFonts w:ascii="Arial" w:cs="Arial" w:eastAsia="Arial" w:hAnsi="Arial"/>
        <w:i/>
        <w:iCs/>
        <w:color w:val="66666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6"/>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2026-02-20T14:44:20.258Z</dcterms:created>
  <dcterms:modified xsi:type="dcterms:W3CDTF">2026-02-20T14:44:20.259Z</dcterms:modified>
</cp:coreProperties>
</file>

<file path=docProps/custom.xml><?xml version="1.0" encoding="utf-8"?>
<Properties xmlns="http://schemas.openxmlformats.org/officeDocument/2006/custom-properties" xmlns:vt="http://schemas.openxmlformats.org/officeDocument/2006/docPropsVTypes"/>
</file>