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C31"/>
          <w:sz w:val="60"/>
        </w:rPr>
        <w:t>Defensible Demand Ledger</w:t>
      </w:r>
    </w:p>
    <w:p>
      <w:pPr>
        <w:jc w:val="center"/>
      </w:pPr>
      <w:r>
        <w:rPr>
          <w:sz w:val="30"/>
        </w:rPr>
        <w:t>Use Case 2: Market Intelligence and Demand Capture</w:t>
        <w:br/>
        <w:t>Application, User Interaction and Data Design</w:t>
      </w:r>
    </w:p>
    <w:p/>
    <w:p/>
    <w:p/>
    <w:p>
      <w:pPr>
        <w:jc w:val="center"/>
      </w:pPr>
      <w:r>
        <w:rPr>
          <w:sz w:val="22"/>
        </w:rPr>
        <w:t>Locked scope: Spain &gt; Sweet Pepper &gt; Blocky PGH (passive greenhouse)</w:t>
        <w:br/>
        <w:t>Live demo: https://skystream-510015.web.app</w:t>
        <w:br/>
        <w:t>Repository: skystream (backend/, packages/web/, scripts/ingest/)</w:t>
        <w:br/>
        <w:t>Document date: 30 September 2026</w:t>
        <w:br/>
        <w:br/>
        <w:t>SMEs: Abhijeet Chaudhry, Leticia Dias</w:t>
      </w:r>
    </w:p>
    <w:p>
      <w:r>
        <w:br w:type="page"/>
      </w:r>
    </w:p>
    <w:p>
      <w:r>
        <w:rPr>
          <w:sz w:val="20"/>
        </w:rPr>
        <w:fldChar w:fldCharType="begin"/>
        <w:instrText xml:space="preserve">TOC \o "1-3" \h \z \u</w:instrText>
        <w:fldChar w:fldCharType="end"/>
      </w:r>
    </w:p>
    <w:p>
      <w:r>
        <w:rPr>
          <w:i/>
          <w:sz w:val="17"/>
        </w:rPr>
        <w:t>Right-click the table of contents and choose Update Field to refresh page numbers.</w:t>
      </w:r>
    </w:p>
    <w:p>
      <w:r>
        <w:br w:type="page"/>
      </w:r>
    </w:p>
    <w:p>
      <w:pPr>
        <w:pStyle w:val="Heading1"/>
      </w:pPr>
      <w:r>
        <w:t>1. Executive summary</w:t>
      </w:r>
    </w:p>
    <w:p>
      <w:pPr>
        <w:spacing w:after="120"/>
      </w:pPr>
      <w:r>
        <w:rPr>
          <w:b w:val="0"/>
          <w:i w:val="0"/>
        </w:rPr>
        <w:t xml:space="preserve">The Defensible Demand Ledger is a working demand-capture tool for one locked crop and geography: </w:t>
      </w:r>
      <w:r>
        <w:rPr>
          <w:b/>
          <w:i w:val="0"/>
        </w:rPr>
        <w:t>Spain &gt; Sweet Pepper &gt; Blocky greenhouse pepper (Blocky PGH)</w:t>
      </w:r>
      <w:r>
        <w:rPr>
          <w:b w:val="0"/>
          <w:i w:val="0"/>
        </w:rPr>
        <w:t xml:space="preserve">, nine active micro-segments. A sales rep enters a monthly demand number and, while typing, sees what it does to market share, to the year-to-go position and to the hectares it implies. Deterministic rules flag implausible entries against history. The rep's one-sentence justification is turned into a structured, checkable claim by the </w:t>
      </w:r>
      <w:r>
        <w:rPr>
          <w:b/>
          <w:i w:val="0"/>
        </w:rPr>
        <w:t>Jev</w:t>
      </w:r>
      <w:r>
        <w:rPr>
          <w:b w:val="0"/>
          <w:i w:val="0"/>
        </w:rPr>
        <w:t xml:space="preserve"> decision model. When the month closes the claim is checked against actual sales, which builds a per-rep track record. The consensus meeting then only reviews the exceptions, and approved numbers leave the tool as a low / mid / high supply range.</w:t>
      </w:r>
    </w:p>
    <w:p>
      <w:pPr>
        <w:spacing w:after="120"/>
      </w:pPr>
      <w:r>
        <w:rPr>
          <w:b w:val="0"/>
          <w:i w:val="0"/>
        </w:rPr>
        <w:t>What the app delivers against the success criteria in the brief:</w:t>
      </w:r>
    </w:p>
    <w:p>
      <w:pPr>
        <w:spacing w:after="40"/>
      </w:pPr>
      <w:r>
        <w:rPr>
          <w:b/>
          <w:sz w:val="18"/>
        </w:rPr>
        <w:t>Table 1. Success criteria and how they are met</w:t>
      </w:r>
    </w:p>
    <w:tbl>
      <w:tblPr>
        <w:tblStyle w:val="LightGrid-Accent1"/>
        <w:tblW w:type="auto" w:w="0"/>
        <w:jc w:val="center"/>
        <w:tblLook w:firstColumn="1" w:firstRow="1" w:lastColumn="0" w:lastRow="0" w:noHBand="0" w:noVBand="1" w:val="04A0"/>
      </w:tblPr>
      <w:tblGrid>
        <w:gridCol w:w="4819"/>
        <w:gridCol w:w="4819"/>
      </w:tblGrid>
      <w:tr>
        <w:tc>
          <w:tcPr>
            <w:tcW w:type="dxa" w:w="3118"/>
          </w:tcPr>
          <w:p>
            <w:r/>
            <w:r>
              <w:rPr>
                <w:b/>
                <w:sz w:val="17"/>
              </w:rPr>
              <w:t>Success criterion (brief)</w:t>
            </w:r>
          </w:p>
        </w:tc>
        <w:tc>
          <w:tcPr>
            <w:tcW w:type="dxa" w:w="6520"/>
          </w:tcPr>
          <w:p>
            <w:r/>
            <w:r>
              <w:rPr>
                <w:b/>
                <w:sz w:val="17"/>
              </w:rPr>
              <w:t>How the app meets it</w:t>
            </w:r>
          </w:p>
        </w:tc>
      </w:tr>
      <w:tr>
        <w:tc>
          <w:tcPr>
            <w:tcW w:type="dxa" w:w="3118"/>
          </w:tcPr>
          <w:p>
            <w:r/>
            <w:r>
              <w:rPr>
                <w:b w:val="0"/>
                <w:i w:val="0"/>
                <w:sz w:val="17"/>
              </w:rPr>
              <w:t>Rep enters a demand number for one locked crop and geography</w:t>
            </w:r>
          </w:p>
        </w:tc>
        <w:tc>
          <w:tcPr>
            <w:tcW w:type="dxa" w:w="6520"/>
          </w:tcPr>
          <w:p>
            <w:r/>
            <w:r>
              <w:rPr>
                <w:b w:val="0"/>
                <w:i w:val="0"/>
                <w:sz w:val="17"/>
              </w:rPr>
              <w:t>Scope is fixed in the data (9 Blocky PGH micro-segments in Spain) and shown as a locked badge in the header.</w:t>
            </w:r>
          </w:p>
        </w:tc>
      </w:tr>
      <w:tr>
        <w:tc>
          <w:tcPr>
            <w:tcW w:type="dxa" w:w="3118"/>
          </w:tcPr>
          <w:p>
            <w:r/>
            <w:r>
              <w:rPr>
                <w:b w:val="0"/>
                <w:i w:val="0"/>
                <w:sz w:val="17"/>
              </w:rPr>
              <w:t>Immediately sees market-share impact</w:t>
            </w:r>
          </w:p>
        </w:tc>
        <w:tc>
          <w:tcPr>
            <w:tcW w:type="dxa" w:w="6520"/>
          </w:tcPr>
          <w:p>
            <w:r/>
            <w:r>
              <w:rPr>
                <w:b w:val="0"/>
                <w:i w:val="0"/>
                <w:sz w:val="17"/>
              </w:rPr>
              <w:t>Share tile recalculates in the browser on every keystroke (&lt; 1 ms): volume share, value share, range, change vs plan and last year, and the competitor split.</w:t>
            </w:r>
          </w:p>
        </w:tc>
      </w:tr>
      <w:tr>
        <w:tc>
          <w:tcPr>
            <w:tcW w:type="dxa" w:w="3118"/>
          </w:tcPr>
          <w:p>
            <w:r/>
            <w:r>
              <w:rPr>
                <w:b w:val="0"/>
                <w:i w:val="0"/>
                <w:sz w:val="17"/>
              </w:rPr>
              <w:t>Year-to-go impact</w:t>
            </w:r>
          </w:p>
        </w:tc>
        <w:tc>
          <w:tcPr>
            <w:tcW w:type="dxa" w:w="6520"/>
          </w:tcPr>
          <w:p>
            <w:r/>
            <w:r>
              <w:rPr>
                <w:b w:val="0"/>
                <w:i w:val="0"/>
                <w:sz w:val="17"/>
              </w:rPr>
              <w:t>Year-to-go tile: full-year estimate, gap to plan, needed vs entered vs last-year monthly rate.</w:t>
            </w:r>
          </w:p>
        </w:tc>
      </w:tr>
      <w:tr>
        <w:tc>
          <w:tcPr>
            <w:tcW w:type="dxa" w:w="3118"/>
          </w:tcPr>
          <w:p>
            <w:r/>
            <w:r>
              <w:rPr>
                <w:b w:val="0"/>
                <w:i w:val="0"/>
                <w:sz w:val="17"/>
              </w:rPr>
              <w:t>Implausibility flag against history</w:t>
            </w:r>
          </w:p>
        </w:tc>
        <w:tc>
          <w:tcPr>
            <w:tcW w:type="dxa" w:w="6520"/>
          </w:tcPr>
          <w:p>
            <w:r/>
            <w:r>
              <w:rPr>
                <w:b w:val="0"/>
                <w:i w:val="0"/>
                <w:sz w:val="17"/>
              </w:rPr>
              <w:t>Eight deterministic rules (plus a data-quality rule) with plain-language messages; any flag makes the justification mandatory.</w:t>
            </w:r>
          </w:p>
        </w:tc>
      </w:tr>
      <w:tr>
        <w:tc>
          <w:tcPr>
            <w:tcW w:type="dxa" w:w="3118"/>
          </w:tcPr>
          <w:p>
            <w:r/>
            <w:r>
              <w:rPr>
                <w:b w:val="0"/>
                <w:i w:val="0"/>
                <w:sz w:val="17"/>
              </w:rPr>
              <w:t>One-sentence justification becomes structured reasoning</w:t>
            </w:r>
          </w:p>
        </w:tc>
        <w:tc>
          <w:tcPr>
            <w:tcW w:type="dxa" w:w="6520"/>
          </w:tcPr>
          <w:p>
            <w:r/>
            <w:r>
              <w:rPr>
                <w:b w:val="0"/>
                <w:i w:val="0"/>
                <w:sz w:val="17"/>
              </w:rPr>
              <w:t>Jev returns ten typed decisions with probabilities (driver, direction, size, competitor, variety, evidence, specificity, checkable, fits market notes, explains flags).</w:t>
            </w:r>
          </w:p>
        </w:tc>
      </w:tr>
      <w:tr>
        <w:tc>
          <w:tcPr>
            <w:tcW w:type="dxa" w:w="3118"/>
          </w:tcPr>
          <w:p>
            <w:r/>
            <w:r>
              <w:rPr>
                <w:b w:val="0"/>
                <w:i w:val="0"/>
                <w:sz w:val="17"/>
              </w:rPr>
              <w:t>Live entry, live recalculation, no next-day lag</w:t>
            </w:r>
          </w:p>
        </w:tc>
        <w:tc>
          <w:tcPr>
            <w:tcW w:type="dxa" w:w="6520"/>
          </w:tcPr>
          <w:p>
            <w:r/>
            <w:r>
              <w:rPr>
                <w:b w:val="0"/>
                <w:i w:val="0"/>
                <w:sz w:val="17"/>
              </w:rPr>
              <w:t>All impact math runs client-side; the server recomputes the same math on submit; structuring takes about 0.3 s.</w:t>
            </w:r>
          </w:p>
        </w:tc>
      </w:tr>
      <w:tr>
        <w:tc>
          <w:tcPr>
            <w:tcW w:type="dxa" w:w="3118"/>
          </w:tcPr>
          <w:p>
            <w:r/>
            <w:r>
              <w:rPr>
                <w:b w:val="0"/>
                <w:i w:val="0"/>
                <w:sz w:val="17"/>
              </w:rPr>
              <w:t>Stretch: consensus assistant drafts reasons-to-believe</w:t>
            </w:r>
          </w:p>
        </w:tc>
        <w:tc>
          <w:tcPr>
            <w:tcW w:type="dxa" w:w="6520"/>
          </w:tcPr>
          <w:p>
            <w:r/>
            <w:r>
              <w:rPr>
                <w:b w:val="0"/>
                <w:i w:val="0"/>
                <w:sz w:val="17"/>
              </w:rPr>
              <w:t>Gemini drafts the RTB from confirmed claims, market notes and competitor trends only.</w:t>
            </w:r>
          </w:p>
        </w:tc>
      </w:tr>
    </w:tbl>
    <w:p>
      <w:pPr>
        <w:spacing w:after="40"/>
      </w:pPr>
    </w:p>
    <w:p>
      <w:pPr>
        <w:spacing w:after="120"/>
      </w:pPr>
      <w:r>
        <w:rPr>
          <w:b w:val="0"/>
          <w:i w:val="0"/>
        </w:rPr>
        <w:t xml:space="preserve">Beyond the brief, the app adds the </w:t>
      </w:r>
      <w:r>
        <w:rPr>
          <w:b/>
          <w:i w:val="0"/>
        </w:rPr>
        <w:t>Defensible Demand Ledger</w:t>
      </w:r>
      <w:r>
        <w:rPr>
          <w:b w:val="0"/>
          <w:i w:val="0"/>
        </w:rPr>
        <w:t xml:space="preserve"> ideas: a volume-versus-price split with a 'price is carrying this number' flag, a rep-supplied confidence range that feeds supply planning, claims that are resolved against later data, a per-rep track record, and an exceptions-only consensus queue.</w:t>
      </w:r>
    </w:p>
    <w:p>
      <w:pPr>
        <w:pStyle w:val="Heading1"/>
      </w:pPr>
      <w:r>
        <w:t>2. Business problems and how the application solves them</w:t>
      </w:r>
    </w:p>
    <w:p>
      <w:pPr>
        <w:spacing w:after="120"/>
      </w:pPr>
      <w:r>
        <w:rPr>
          <w:b w:val="0"/>
          <w:i w:val="0"/>
        </w:rPr>
        <w:t xml:space="preserve">Today reps update demand in disconnected spreadsheets and a homegrown SharePoint application (i-MAPS). The sample exports come from three separate lists on that site: </w:t>
      </w:r>
      <w:r>
        <w:rPr>
          <w:b/>
          <w:i w:val="0"/>
        </w:rPr>
        <w:t>MAPSHistData</w:t>
      </w:r>
      <w:r>
        <w:rPr>
          <w:b w:val="0"/>
          <w:i w:val="0"/>
        </w:rPr>
        <w:t xml:space="preserve"> (market), </w:t>
      </w:r>
      <w:r>
        <w:rPr>
          <w:b/>
          <w:i w:val="0"/>
        </w:rPr>
        <w:t>Syngenta5YrsSales</w:t>
      </w:r>
      <w:r>
        <w:rPr>
          <w:b w:val="0"/>
          <w:i w:val="0"/>
        </w:rPr>
        <w:t xml:space="preserve"> (Syngenta plan) and </w:t>
      </w:r>
      <w:r>
        <w:rPr>
          <w:b/>
          <w:i w:val="0"/>
        </w:rPr>
        <w:t>CompetitorMktShare</w:t>
      </w:r>
      <w:r>
        <w:rPr>
          <w:b w:val="0"/>
          <w:i w:val="0"/>
        </w:rPr>
        <w:t xml:space="preserve"> (competitors). Nothing links them at entry time, so share is not recalculated until a later refresh.</w:t>
      </w:r>
    </w:p>
    <w:p>
      <w:pPr>
        <w:spacing w:after="40"/>
      </w:pPr>
      <w:r>
        <w:rPr>
          <w:b/>
          <w:sz w:val="18"/>
        </w:rPr>
        <w:t>Table 2. Problem-to-solution map</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928"/>
          </w:tcPr>
          <w:p>
            <w:r/>
            <w:r>
              <w:rPr>
                <w:b/>
                <w:sz w:val="16"/>
              </w:rPr>
              <w:t>Problem</w:t>
            </w:r>
          </w:p>
        </w:tc>
        <w:tc>
          <w:tcPr>
            <w:tcW w:type="dxa" w:w="2041"/>
          </w:tcPr>
          <w:p>
            <w:r/>
            <w:r>
              <w:rPr>
                <w:b/>
                <w:sz w:val="16"/>
              </w:rPr>
              <w:t>Evidence / cause</w:t>
            </w:r>
          </w:p>
        </w:tc>
        <w:tc>
          <w:tcPr>
            <w:tcW w:type="dxa" w:w="4195"/>
          </w:tcPr>
          <w:p>
            <w:r/>
            <w:r>
              <w:rPr>
                <w:b/>
                <w:sz w:val="16"/>
              </w:rPr>
              <w:t>How the app solves it</w:t>
            </w:r>
          </w:p>
        </w:tc>
        <w:tc>
          <w:tcPr>
            <w:tcW w:type="dxa" w:w="1474"/>
          </w:tcPr>
          <w:p>
            <w:r/>
            <w:r>
              <w:rPr>
                <w:b/>
                <w:sz w:val="16"/>
              </w:rPr>
              <w:t>Where</w:t>
            </w:r>
          </w:p>
        </w:tc>
      </w:tr>
      <w:tr>
        <w:tc>
          <w:tcPr>
            <w:tcW w:type="dxa" w:w="1928"/>
          </w:tcPr>
          <w:p>
            <w:r/>
            <w:r>
              <w:rPr>
                <w:b w:val="0"/>
                <w:i w:val="0"/>
                <w:sz w:val="16"/>
              </w:rPr>
              <w:t>1. Next-day lag; no real-time feedback</w:t>
            </w:r>
          </w:p>
        </w:tc>
        <w:tc>
          <w:tcPr>
            <w:tcW w:type="dxa" w:w="2041"/>
          </w:tcPr>
          <w:p>
            <w:r/>
            <w:r>
              <w:rPr>
                <w:b w:val="0"/>
                <w:i w:val="0"/>
                <w:sz w:val="16"/>
              </w:rPr>
              <w:t>Three unconnected lists; share recalculated later.</w:t>
            </w:r>
          </w:p>
        </w:tc>
        <w:tc>
          <w:tcPr>
            <w:tcW w:type="dxa" w:w="4195"/>
          </w:tcPr>
          <w:p>
            <w:r/>
            <w:r>
              <w:rPr>
                <w:b w:val="0"/>
                <w:i w:val="0"/>
                <w:sz w:val="16"/>
              </w:rPr>
              <w:t>Market, plan, competitor and monthly data are joined once into a 'cube' and sent to the browser; demandMath.ts recalculates every tile per keystroke with no network call.</w:t>
            </w:r>
          </w:p>
        </w:tc>
        <w:tc>
          <w:tcPr>
            <w:tcW w:type="dxa" w:w="1474"/>
          </w:tcPr>
          <w:p>
            <w:r/>
            <w:r>
              <w:rPr>
                <w:b w:val="0"/>
                <w:i w:val="0"/>
                <w:sz w:val="16"/>
              </w:rPr>
              <w:t>Capture screen tiles</w:t>
            </w:r>
          </w:p>
        </w:tc>
      </w:tr>
      <w:tr>
        <w:tc>
          <w:tcPr>
            <w:tcW w:type="dxa" w:w="1928"/>
          </w:tcPr>
          <w:p>
            <w:r/>
            <w:r>
              <w:rPr>
                <w:b w:val="0"/>
                <w:i w:val="0"/>
                <w:sz w:val="16"/>
              </w:rPr>
              <w:t>2. A number cannot be defended during the conversation</w:t>
            </w:r>
          </w:p>
        </w:tc>
        <w:tc>
          <w:tcPr>
            <w:tcW w:type="dxa" w:w="2041"/>
          </w:tcPr>
          <w:p>
            <w:r/>
            <w:r>
              <w:rPr>
                <w:b w:val="0"/>
                <w:i w:val="0"/>
                <w:sz w:val="16"/>
              </w:rPr>
              <w:t>Rep has no view of share, hectares or year-to-go while talking to a customer.</w:t>
            </w:r>
          </w:p>
        </w:tc>
        <w:tc>
          <w:tcPr>
            <w:tcW w:type="dxa" w:w="4195"/>
          </w:tcPr>
          <w:p>
            <w:r/>
            <w:r>
              <w:rPr>
                <w:b w:val="0"/>
                <w:i w:val="0"/>
                <w:sz w:val="16"/>
              </w:rPr>
              <w:t>Four live tiles (share + competitor split, year-to-go, implied hectares, plausibility) plus a revenue split, all updating as the number changes.</w:t>
            </w:r>
          </w:p>
        </w:tc>
        <w:tc>
          <w:tcPr>
            <w:tcW w:type="dxa" w:w="1474"/>
          </w:tcPr>
          <w:p>
            <w:r/>
            <w:r>
              <w:rPr>
                <w:b w:val="0"/>
                <w:i w:val="0"/>
                <w:sz w:val="16"/>
              </w:rPr>
              <w:t>Capture screen</w:t>
            </w:r>
          </w:p>
        </w:tc>
      </w:tr>
      <w:tr>
        <w:tc>
          <w:tcPr>
            <w:tcW w:type="dxa" w:w="1928"/>
          </w:tcPr>
          <w:p>
            <w:r/>
            <w:r>
              <w:rPr>
                <w:b w:val="0"/>
                <w:i w:val="0"/>
                <w:sz w:val="16"/>
              </w:rPr>
              <w:t>3. No validation against history</w:t>
            </w:r>
          </w:p>
        </w:tc>
        <w:tc>
          <w:tcPr>
            <w:tcW w:type="dxa" w:w="2041"/>
          </w:tcPr>
          <w:p>
            <w:r/>
            <w:r>
              <w:rPr>
                <w:b w:val="0"/>
                <w:i w:val="0"/>
                <w:sz w:val="16"/>
              </w:rPr>
              <w:t>Implausible numbers flow into the plan unchecked.</w:t>
            </w:r>
          </w:p>
        </w:tc>
        <w:tc>
          <w:tcPr>
            <w:tcW w:type="dxa" w:w="4195"/>
          </w:tcPr>
          <w:p>
            <w:r/>
            <w:r>
              <w:rPr>
                <w:b w:val="0"/>
                <w:i w:val="0"/>
                <w:sz w:val="16"/>
              </w:rPr>
              <w:t>Eight deterministic flags (share &gt; 100%, share above history, hectares above market, month outlier, against market trend, price carrying, above grower potential, range too wide, price outside band). Flags never block; they make the justification mandatory.</w:t>
            </w:r>
          </w:p>
        </w:tc>
        <w:tc>
          <w:tcPr>
            <w:tcW w:type="dxa" w:w="1474"/>
          </w:tcPr>
          <w:p>
            <w:r/>
            <w:r>
              <w:rPr>
                <w:b w:val="0"/>
                <w:i w:val="0"/>
                <w:sz w:val="16"/>
              </w:rPr>
              <w:t>Plausibility tile, Ledger, Consensus</w:t>
            </w:r>
          </w:p>
        </w:tc>
      </w:tr>
      <w:tr>
        <w:tc>
          <w:tcPr>
            <w:tcW w:type="dxa" w:w="1928"/>
          </w:tcPr>
          <w:p>
            <w:r/>
            <w:r>
              <w:rPr>
                <w:b w:val="0"/>
                <w:i w:val="0"/>
                <w:sz w:val="16"/>
              </w:rPr>
              <w:t>4. Revenue plan silently depends on price</w:t>
            </w:r>
          </w:p>
        </w:tc>
        <w:tc>
          <w:tcPr>
            <w:tcW w:type="dxa" w:w="2041"/>
          </w:tcPr>
          <w:p>
            <w:r/>
            <w:r>
              <w:rPr>
                <w:b w:val="0"/>
                <w:i w:val="0"/>
                <w:sz w:val="16"/>
              </w:rPr>
              <w:t>In the sample plan, Blocky PGH revenue stays flat while volume and share fall; price makes up the gap.</w:t>
            </w:r>
          </w:p>
        </w:tc>
        <w:tc>
          <w:tcPr>
            <w:tcW w:type="dxa" w:w="4195"/>
          </w:tcPr>
          <w:p>
            <w:r/>
            <w:r>
              <w:rPr>
                <w:b w:val="0"/>
                <w:i w:val="0"/>
                <w:sz w:val="16"/>
              </w:rPr>
              <w:t>Volume/price decomposition of every number vs last year and a 'price is carrying this number' flag when volume falls and price supplies at least 70% of the revenue movement.</w:t>
            </w:r>
          </w:p>
        </w:tc>
        <w:tc>
          <w:tcPr>
            <w:tcW w:type="dxa" w:w="1474"/>
          </w:tcPr>
          <w:p>
            <w:r/>
            <w:r>
              <w:rPr>
                <w:b w:val="0"/>
                <w:i w:val="0"/>
                <w:sz w:val="16"/>
              </w:rPr>
              <w:t>Revenue split card, flag</w:t>
            </w:r>
          </w:p>
        </w:tc>
      </w:tr>
      <w:tr>
        <w:tc>
          <w:tcPr>
            <w:tcW w:type="dxa" w:w="1928"/>
          </w:tcPr>
          <w:p>
            <w:r/>
            <w:r>
              <w:rPr>
                <w:b w:val="0"/>
                <w:i w:val="0"/>
                <w:sz w:val="16"/>
              </w:rPr>
              <w:t>5. Single-point numbers drive seed production committed a year or more ahead</w:t>
            </w:r>
          </w:p>
        </w:tc>
        <w:tc>
          <w:tcPr>
            <w:tcW w:type="dxa" w:w="2041"/>
          </w:tcPr>
          <w:p>
            <w:r/>
            <w:r>
              <w:rPr>
                <w:b w:val="0"/>
                <w:i w:val="0"/>
                <w:sz w:val="16"/>
              </w:rPr>
              <w:t>Over-forecast leads to write-offs; under-forecast to lost sales.</w:t>
            </w:r>
          </w:p>
        </w:tc>
        <w:tc>
          <w:tcPr>
            <w:tcW w:type="dxa" w:w="4195"/>
          </w:tcPr>
          <w:p>
            <w:r/>
            <w:r>
              <w:rPr>
                <w:b w:val="0"/>
                <w:i w:val="0"/>
                <w:sz w:val="16"/>
              </w:rPr>
              <w:t>Rep supplies a low/high range; tiles show both ends; the supply export marks low-confidence lines (wide range or weak rep) as 'build to low'.</w:t>
            </w:r>
          </w:p>
        </w:tc>
        <w:tc>
          <w:tcPr>
            <w:tcW w:type="dxa" w:w="1474"/>
          </w:tcPr>
          <w:p>
            <w:r/>
            <w:r>
              <w:rPr>
                <w:b w:val="0"/>
                <w:i w:val="0"/>
                <w:sz w:val="16"/>
              </w:rPr>
              <w:t>Entry panel, Supply CSV</w:t>
            </w:r>
          </w:p>
        </w:tc>
      </w:tr>
      <w:tr>
        <w:tc>
          <w:tcPr>
            <w:tcW w:type="dxa" w:w="1928"/>
          </w:tcPr>
          <w:p>
            <w:r/>
            <w:r>
              <w:rPr>
                <w:b w:val="0"/>
                <w:i w:val="0"/>
                <w:sz w:val="16"/>
              </w:rPr>
              <w:t>6. Reasons are lost as free text; no record of why a number changed</w:t>
            </w:r>
          </w:p>
        </w:tc>
        <w:tc>
          <w:tcPr>
            <w:tcW w:type="dxa" w:w="2041"/>
          </w:tcPr>
          <w:p>
            <w:r/>
            <w:r>
              <w:rPr>
                <w:b w:val="0"/>
                <w:i w:val="0"/>
                <w:sz w:val="16"/>
              </w:rPr>
              <w:t>Justifications live in comment cells ('80% of this microsegment').</w:t>
            </w:r>
          </w:p>
        </w:tc>
        <w:tc>
          <w:tcPr>
            <w:tcW w:type="dxa" w:w="4195"/>
          </w:tcPr>
          <w:p>
            <w:r/>
            <w:r>
              <w:rPr>
                <w:b w:val="0"/>
                <w:i w:val="0"/>
                <w:sz w:val="16"/>
              </w:rPr>
              <w:t>Jev structures the sentence into typed fields with probabilities; each entry stores number, range, impact snapshot, flags and claim; earlier entries are superseded, not deleted.</w:t>
            </w:r>
          </w:p>
        </w:tc>
        <w:tc>
          <w:tcPr>
            <w:tcW w:type="dxa" w:w="1474"/>
          </w:tcPr>
          <w:p>
            <w:r/>
            <w:r>
              <w:rPr>
                <w:b w:val="0"/>
                <w:i w:val="0"/>
                <w:sz w:val="16"/>
              </w:rPr>
              <w:t>Justification box, Ledger</w:t>
            </w:r>
          </w:p>
        </w:tc>
      </w:tr>
      <w:tr>
        <w:tc>
          <w:tcPr>
            <w:tcW w:type="dxa" w:w="1928"/>
          </w:tcPr>
          <w:p>
            <w:r/>
            <w:r>
              <w:rPr>
                <w:b w:val="0"/>
                <w:i w:val="0"/>
                <w:sz w:val="16"/>
              </w:rPr>
              <w:t>7. No way to know whose numbers to trust</w:t>
            </w:r>
          </w:p>
        </w:tc>
        <w:tc>
          <w:tcPr>
            <w:tcW w:type="dxa" w:w="2041"/>
          </w:tcPr>
          <w:p>
            <w:r/>
            <w:r>
              <w:rPr>
                <w:b w:val="0"/>
                <w:i w:val="0"/>
                <w:sz w:val="16"/>
              </w:rPr>
              <w:t>Bias and accuracy per rep are invisible.</w:t>
            </w:r>
          </w:p>
        </w:tc>
        <w:tc>
          <w:tcPr>
            <w:tcW w:type="dxa" w:w="4195"/>
          </w:tcPr>
          <w:p>
            <w:r/>
            <w:r>
              <w:rPr>
                <w:b w:val="0"/>
                <w:i w:val="0"/>
                <w:sz w:val="16"/>
              </w:rPr>
              <w:t>When a month closes, each claim is resolved against actuals (numeric check + Jev yes/no verdict). Track record = claim hit rate, bias, range coverage; shown next to new entries and used by the consensus queue.</w:t>
            </w:r>
          </w:p>
        </w:tc>
        <w:tc>
          <w:tcPr>
            <w:tcW w:type="dxa" w:w="1474"/>
          </w:tcPr>
          <w:p>
            <w:r/>
            <w:r>
              <w:rPr>
                <w:b w:val="0"/>
                <w:i w:val="0"/>
                <w:sz w:val="16"/>
              </w:rPr>
              <w:t>Track record screen, Advance month</w:t>
            </w:r>
          </w:p>
        </w:tc>
      </w:tr>
      <w:tr>
        <w:tc>
          <w:tcPr>
            <w:tcW w:type="dxa" w:w="1928"/>
          </w:tcPr>
          <w:p>
            <w:r/>
            <w:r>
              <w:rPr>
                <w:b w:val="0"/>
                <w:i w:val="0"/>
                <w:sz w:val="16"/>
              </w:rPr>
              <w:t>8. Consensus meetings discuss every line</w:t>
            </w:r>
          </w:p>
        </w:tc>
        <w:tc>
          <w:tcPr>
            <w:tcW w:type="dxa" w:w="2041"/>
          </w:tcPr>
          <w:p>
            <w:r/>
            <w:r>
              <w:rPr>
                <w:b w:val="0"/>
                <w:i w:val="0"/>
                <w:sz w:val="16"/>
              </w:rPr>
              <w:t>Time spent on routine numbers.</w:t>
            </w:r>
          </w:p>
        </w:tc>
        <w:tc>
          <w:tcPr>
            <w:tcW w:type="dxa" w:w="4195"/>
          </w:tcPr>
          <w:p>
            <w:r/>
            <w:r>
              <w:rPr>
                <w:b w:val="0"/>
                <w:i w:val="0"/>
                <w:sz w:val="16"/>
              </w:rPr>
              <w:t>Exceptions-only queue (flags, weak rep, vague or flag-ignoring justification) with a Jev triage suggestion; routine lines approved in bulk; Gemini drafts the reasons-to-believe.</w:t>
            </w:r>
          </w:p>
        </w:tc>
        <w:tc>
          <w:tcPr>
            <w:tcW w:type="dxa" w:w="1474"/>
          </w:tcPr>
          <w:p>
            <w:r/>
            <w:r>
              <w:rPr>
                <w:b w:val="0"/>
                <w:i w:val="0"/>
                <w:sz w:val="16"/>
              </w:rPr>
              <w:t>Consensus screen</w:t>
            </w:r>
          </w:p>
        </w:tc>
      </w:tr>
      <w:tr>
        <w:tc>
          <w:tcPr>
            <w:tcW w:type="dxa" w:w="1928"/>
          </w:tcPr>
          <w:p>
            <w:r/>
            <w:r>
              <w:rPr>
                <w:b w:val="0"/>
                <w:i w:val="0"/>
                <w:sz w:val="16"/>
              </w:rPr>
              <w:t>9. Source data quality</w:t>
            </w:r>
          </w:p>
        </w:tc>
        <w:tc>
          <w:tcPr>
            <w:tcW w:type="dxa" w:w="2041"/>
          </w:tcPr>
          <w:p>
            <w:r/>
            <w:r>
              <w:rPr>
                <w:b w:val="0"/>
                <w:i w:val="0"/>
                <w:sz w:val="16"/>
              </w:rPr>
              <w:t>Duplicates, renamed segments, missing IDs, noisy CRM rows.</w:t>
            </w:r>
          </w:p>
        </w:tc>
        <w:tc>
          <w:tcPr>
            <w:tcW w:type="dxa" w:w="4195"/>
          </w:tcPr>
          <w:p>
            <w:r/>
            <w:r>
              <w:rPr>
                <w:b w:val="0"/>
                <w:i w:val="0"/>
                <w:sz w:val="16"/>
              </w:rPr>
              <w:t>Ingest pipeline deduplicates, joins on IDs, recovers IDs from descriptions, caps outliers, anonymizes, and publishes a data-quality report.</w:t>
            </w:r>
          </w:p>
        </w:tc>
        <w:tc>
          <w:tcPr>
            <w:tcW w:type="dxa" w:w="1474"/>
          </w:tcPr>
          <w:p>
            <w:r/>
            <w:r>
              <w:rPr>
                <w:b w:val="0"/>
                <w:i w:val="0"/>
                <w:sz w:val="16"/>
              </w:rPr>
              <w:t>Data quality screen</w:t>
            </w:r>
          </w:p>
        </w:tc>
      </w:tr>
      <w:tr>
        <w:tc>
          <w:tcPr>
            <w:tcW w:type="dxa" w:w="1928"/>
          </w:tcPr>
          <w:p>
            <w:r/>
            <w:r>
              <w:rPr>
                <w:b w:val="0"/>
                <w:i w:val="0"/>
                <w:sz w:val="16"/>
              </w:rPr>
              <w:t>10. Constraints: synthetic sales, public data only, no production access, no forecasting model</w:t>
            </w:r>
          </w:p>
        </w:tc>
        <w:tc>
          <w:tcPr>
            <w:tcW w:type="dxa" w:w="2041"/>
          </w:tcPr>
          <w:p>
            <w:r/>
            <w:r>
              <w:rPr>
                <w:b w:val="0"/>
                <w:i w:val="0"/>
                <w:sz w:val="16"/>
              </w:rPr>
              <w:t>Brief non-negotiables.</w:t>
            </w:r>
          </w:p>
        </w:tc>
        <w:tc>
          <w:tcPr>
            <w:tcW w:type="dxa" w:w="4195"/>
          </w:tcPr>
          <w:p>
            <w:r/>
            <w:r>
              <w:rPr>
                <w:b w:val="0"/>
                <w:i w:val="0"/>
                <w:sz w:val="16"/>
              </w:rPr>
              <w:t>Syngenta figures scaled + noised; rep names pseudonymized; everything loaded from files; every number comes from the rep - the app calculates, checks and records only.</w:t>
            </w:r>
          </w:p>
        </w:tc>
        <w:tc>
          <w:tcPr>
            <w:tcW w:type="dxa" w:w="1474"/>
          </w:tcPr>
          <w:p>
            <w:r/>
            <w:r>
              <w:rPr>
                <w:b w:val="0"/>
                <w:i w:val="0"/>
                <w:sz w:val="16"/>
              </w:rPr>
              <w:t>Whole design</w:t>
            </w:r>
          </w:p>
        </w:tc>
      </w:tr>
    </w:tbl>
    <w:p>
      <w:pPr>
        <w:spacing w:after="40"/>
      </w:pPr>
    </w:p>
    <w:p>
      <w:pPr>
        <w:pStyle w:val="Heading1"/>
      </w:pPr>
      <w:r>
        <w:t>3. Scope, constraints and the locked segment</w:t>
      </w:r>
    </w:p>
    <w:p>
      <w:pPr>
        <w:pStyle w:val="Heading2"/>
      </w:pPr>
      <w:r>
        <w:t>3.1 Why Spain &gt; Sweet Pepper &gt; Blocky PGH</w:t>
      </w:r>
    </w:p>
    <w:p>
      <w:pPr>
        <w:pStyle w:val="ListBullet"/>
        <w:spacing w:after="40"/>
      </w:pPr>
      <w:r>
        <w:rPr>
          <w:b w:val="0"/>
          <w:i w:val="0"/>
        </w:rPr>
        <w:t>Sweet pepper is Syngenta's largest line in the Spain sample (about EUR 28.8M of 2026 plan sales before anonymization).</w:t>
      </w:r>
    </w:p>
    <w:p>
      <w:pPr>
        <w:pStyle w:val="ListBullet"/>
        <w:spacing w:after="40"/>
      </w:pPr>
      <w:r>
        <w:rPr>
          <w:b w:val="0"/>
          <w:i w:val="0"/>
        </w:rPr>
        <w:t>Blocky PGH is the mega-segment where Syngenta leads (about 31% value share in the competitor file, reconciled exactly by the app's own calculation).</w:t>
      </w:r>
    </w:p>
    <w:p>
      <w:pPr>
        <w:pStyle w:val="ListBullet"/>
        <w:spacing w:after="40"/>
      </w:pPr>
      <w:r>
        <w:rPr>
          <w:b w:val="0"/>
          <w:i w:val="0"/>
        </w:rPr>
        <w:t>It has the richest supporting material: rep comments, six market-note fields, a full competitor split, CRM grower rows with Syngenta varieties, and a clear market driver (the T. parvispinus pest).</w:t>
      </w:r>
    </w:p>
    <w:p>
      <w:pPr>
        <w:pStyle w:val="ListBullet"/>
        <w:spacing w:after="40"/>
      </w:pPr>
      <w:r>
        <w:rPr>
          <w:b w:val="0"/>
          <w:i w:val="0"/>
        </w:rPr>
        <w:t>The market and sales data are national (no province split), so the locked geography is Spain; Almeria appears only as context in comments and grower regions.</w:t>
      </w:r>
    </w:p>
    <w:p>
      <w:pPr>
        <w:pStyle w:val="Heading2"/>
      </w:pPr>
      <w:r>
        <w:t>3.2 The nine active micro-segments (2026, anonymized plan)</w:t>
      </w:r>
    </w:p>
    <w:p>
      <w:pPr>
        <w:spacing w:after="40"/>
      </w:pPr>
      <w:r>
        <w:rPr>
          <w:b/>
          <w:sz w:val="18"/>
        </w:rPr>
        <w:t>Table 3. Locked micro-segments (market from MV360 Market, plan from MV360 Sales, anonymized)</w:t>
      </w:r>
    </w:p>
    <w:tbl>
      <w:tblPr>
        <w:tblStyle w:val="LightGrid-Accent1"/>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r/>
            <w:r>
              <w:rPr>
                <w:b/>
                <w:sz w:val="15"/>
              </w:rPr>
              <w:t>ID</w:t>
            </w:r>
          </w:p>
        </w:tc>
        <w:tc>
          <w:tcPr>
            <w:tcW w:type="dxa" w:w="964"/>
          </w:tcPr>
          <w:p>
            <w:r/>
            <w:r>
              <w:rPr>
                <w:b/>
                <w:sz w:val="15"/>
              </w:rPr>
              <w:t>Cycle / colour</w:t>
            </w:r>
          </w:p>
        </w:tc>
        <w:tc>
          <w:tcPr>
            <w:tcW w:type="dxa" w:w="964"/>
          </w:tcPr>
          <w:p>
            <w:r/>
            <w:r>
              <w:rPr>
                <w:b/>
                <w:sz w:val="15"/>
              </w:rPr>
              <w:t>Owner</w:t>
            </w:r>
          </w:p>
        </w:tc>
        <w:tc>
          <w:tcPr>
            <w:tcW w:type="dxa" w:w="964"/>
          </w:tcPr>
          <w:p>
            <w:r/>
            <w:r>
              <w:rPr>
                <w:b/>
                <w:sz w:val="15"/>
              </w:rPr>
              <w:t>Planted ha</w:t>
            </w:r>
          </w:p>
        </w:tc>
        <w:tc>
          <w:tcPr>
            <w:tcW w:type="dxa" w:w="964"/>
          </w:tcPr>
          <w:p>
            <w:r/>
            <w:r>
              <w:rPr>
                <w:b/>
                <w:sz w:val="15"/>
              </w:rPr>
              <w:t>Area vs 2025</w:t>
            </w:r>
          </w:p>
        </w:tc>
        <w:tc>
          <w:tcPr>
            <w:tcW w:type="dxa" w:w="964"/>
          </w:tcPr>
          <w:p>
            <w:r/>
            <w:r>
              <w:rPr>
                <w:b/>
                <w:sz w:val="15"/>
              </w:rPr>
              <w:t>Density (k/ha)</w:t>
            </w:r>
          </w:p>
        </w:tc>
        <w:tc>
          <w:tcPr>
            <w:tcW w:type="dxa" w:w="964"/>
          </w:tcPr>
          <w:p>
            <w:r/>
            <w:r>
              <w:rPr>
                <w:b/>
                <w:sz w:val="15"/>
              </w:rPr>
              <w:t>Market KS</w:t>
            </w:r>
          </w:p>
        </w:tc>
        <w:tc>
          <w:tcPr>
            <w:tcW w:type="dxa" w:w="964"/>
          </w:tcPr>
          <w:p>
            <w:r/>
            <w:r>
              <w:rPr>
                <w:b/>
                <w:sz w:val="15"/>
              </w:rPr>
              <w:t>Ex-seed EUR/KS</w:t>
            </w:r>
          </w:p>
        </w:tc>
        <w:tc>
          <w:tcPr>
            <w:tcW w:type="dxa" w:w="964"/>
          </w:tcPr>
          <w:p>
            <w:r/>
            <w:r>
              <w:rPr>
                <w:b/>
                <w:sz w:val="15"/>
              </w:rPr>
              <w:t>Plan KS</w:t>
            </w:r>
          </w:p>
        </w:tc>
        <w:tc>
          <w:tcPr>
            <w:tcW w:type="dxa" w:w="964"/>
          </w:tcPr>
          <w:p>
            <w:r/>
            <w:r>
              <w:rPr>
                <w:b/>
                <w:sz w:val="15"/>
              </w:rPr>
              <w:t>Vol. share</w:t>
            </w:r>
          </w:p>
        </w:tc>
      </w:tr>
      <w:tr>
        <w:tc>
          <w:tcPr>
            <w:tcW w:type="dxa" w:w="964"/>
          </w:tcPr>
          <w:p>
            <w:r/>
            <w:r>
              <w:rPr>
                <w:b w:val="0"/>
                <w:i w:val="0"/>
                <w:sz w:val="15"/>
              </w:rPr>
              <w:t>2432</w:t>
            </w:r>
          </w:p>
        </w:tc>
        <w:tc>
          <w:tcPr>
            <w:tcW w:type="dxa" w:w="964"/>
          </w:tcPr>
          <w:p>
            <w:r/>
            <w:r>
              <w:rPr>
                <w:b w:val="0"/>
                <w:i w:val="0"/>
                <w:sz w:val="15"/>
              </w:rPr>
              <w:t>Spring Red</w:t>
            </w:r>
          </w:p>
        </w:tc>
        <w:tc>
          <w:tcPr>
            <w:tcW w:type="dxa" w:w="964"/>
          </w:tcPr>
          <w:p>
            <w:r/>
            <w:r>
              <w:rPr>
                <w:b w:val="0"/>
                <w:i w:val="0"/>
                <w:sz w:val="15"/>
              </w:rPr>
              <w:t>Rep B</w:t>
            </w:r>
          </w:p>
        </w:tc>
        <w:tc>
          <w:tcPr>
            <w:tcW w:type="dxa" w:w="964"/>
          </w:tcPr>
          <w:p>
            <w:r/>
            <w:r>
              <w:rPr>
                <w:b w:val="0"/>
                <w:i w:val="0"/>
                <w:sz w:val="15"/>
              </w:rPr>
              <w:t>1,347</w:t>
            </w:r>
          </w:p>
        </w:tc>
        <w:tc>
          <w:tcPr>
            <w:tcW w:type="dxa" w:w="964"/>
          </w:tcPr>
          <w:p>
            <w:r/>
            <w:r>
              <w:rPr>
                <w:b w:val="0"/>
                <w:i w:val="0"/>
                <w:sz w:val="15"/>
              </w:rPr>
              <w:t>+63.2%</w:t>
            </w:r>
          </w:p>
        </w:tc>
        <w:tc>
          <w:tcPr>
            <w:tcW w:type="dxa" w:w="964"/>
          </w:tcPr>
          <w:p>
            <w:r/>
            <w:r>
              <w:rPr>
                <w:b w:val="0"/>
                <w:i w:val="0"/>
                <w:sz w:val="15"/>
              </w:rPr>
              <w:t>25</w:t>
            </w:r>
          </w:p>
        </w:tc>
        <w:tc>
          <w:tcPr>
            <w:tcW w:type="dxa" w:w="964"/>
          </w:tcPr>
          <w:p>
            <w:r/>
            <w:r>
              <w:rPr>
                <w:b w:val="0"/>
                <w:i w:val="0"/>
                <w:sz w:val="15"/>
              </w:rPr>
              <w:t>33,675</w:t>
            </w:r>
          </w:p>
        </w:tc>
        <w:tc>
          <w:tcPr>
            <w:tcW w:type="dxa" w:w="964"/>
          </w:tcPr>
          <w:p>
            <w:r/>
            <w:r>
              <w:rPr>
                <w:b w:val="0"/>
                <w:i w:val="0"/>
                <w:sz w:val="15"/>
              </w:rPr>
              <w:t>382</w:t>
            </w:r>
          </w:p>
        </w:tc>
        <w:tc>
          <w:tcPr>
            <w:tcW w:type="dxa" w:w="964"/>
          </w:tcPr>
          <w:p>
            <w:r/>
            <w:r>
              <w:rPr>
                <w:b w:val="0"/>
                <w:i w:val="0"/>
                <w:sz w:val="15"/>
              </w:rPr>
              <w:t>6,807</w:t>
            </w:r>
          </w:p>
        </w:tc>
        <w:tc>
          <w:tcPr>
            <w:tcW w:type="dxa" w:w="964"/>
          </w:tcPr>
          <w:p>
            <w:r/>
            <w:r>
              <w:rPr>
                <w:b w:val="0"/>
                <w:i w:val="0"/>
                <w:sz w:val="15"/>
              </w:rPr>
              <w:t>20.2%</w:t>
            </w:r>
          </w:p>
        </w:tc>
      </w:tr>
      <w:tr>
        <w:tc>
          <w:tcPr>
            <w:tcW w:type="dxa" w:w="964"/>
          </w:tcPr>
          <w:p>
            <w:r/>
            <w:r>
              <w:rPr>
                <w:b w:val="0"/>
                <w:i w:val="0"/>
                <w:sz w:val="15"/>
              </w:rPr>
              <w:t>2433</w:t>
            </w:r>
          </w:p>
        </w:tc>
        <w:tc>
          <w:tcPr>
            <w:tcW w:type="dxa" w:w="964"/>
          </w:tcPr>
          <w:p>
            <w:r/>
            <w:r>
              <w:rPr>
                <w:b w:val="0"/>
                <w:i w:val="0"/>
                <w:sz w:val="15"/>
              </w:rPr>
              <w:t>Spring Yellow</w:t>
            </w:r>
          </w:p>
        </w:tc>
        <w:tc>
          <w:tcPr>
            <w:tcW w:type="dxa" w:w="964"/>
          </w:tcPr>
          <w:p>
            <w:r/>
            <w:r>
              <w:rPr>
                <w:b w:val="0"/>
                <w:i w:val="0"/>
                <w:sz w:val="15"/>
              </w:rPr>
              <w:t>Rep B</w:t>
            </w:r>
          </w:p>
        </w:tc>
        <w:tc>
          <w:tcPr>
            <w:tcW w:type="dxa" w:w="964"/>
          </w:tcPr>
          <w:p>
            <w:r/>
            <w:r>
              <w:rPr>
                <w:b w:val="0"/>
                <w:i w:val="0"/>
                <w:sz w:val="15"/>
              </w:rPr>
              <w:t>241</w:t>
            </w:r>
          </w:p>
        </w:tc>
        <w:tc>
          <w:tcPr>
            <w:tcW w:type="dxa" w:w="964"/>
          </w:tcPr>
          <w:p>
            <w:r/>
            <w:r>
              <w:rPr>
                <w:b w:val="0"/>
                <w:i w:val="0"/>
                <w:sz w:val="15"/>
              </w:rPr>
              <w:t>+6.9%</w:t>
            </w:r>
          </w:p>
        </w:tc>
        <w:tc>
          <w:tcPr>
            <w:tcW w:type="dxa" w:w="964"/>
          </w:tcPr>
          <w:p>
            <w:r/>
            <w:r>
              <w:rPr>
                <w:b w:val="0"/>
                <w:i w:val="0"/>
                <w:sz w:val="15"/>
              </w:rPr>
              <w:t>25</w:t>
            </w:r>
          </w:p>
        </w:tc>
        <w:tc>
          <w:tcPr>
            <w:tcW w:type="dxa" w:w="964"/>
          </w:tcPr>
          <w:p>
            <w:r/>
            <w:r>
              <w:rPr>
                <w:b w:val="0"/>
                <w:i w:val="0"/>
                <w:sz w:val="15"/>
              </w:rPr>
              <w:t>6,025</w:t>
            </w:r>
          </w:p>
        </w:tc>
        <w:tc>
          <w:tcPr>
            <w:tcW w:type="dxa" w:w="964"/>
          </w:tcPr>
          <w:p>
            <w:r/>
            <w:r>
              <w:rPr>
                <w:b w:val="0"/>
                <w:i w:val="0"/>
                <w:sz w:val="15"/>
              </w:rPr>
              <w:t>385</w:t>
            </w:r>
          </w:p>
        </w:tc>
        <w:tc>
          <w:tcPr>
            <w:tcW w:type="dxa" w:w="964"/>
          </w:tcPr>
          <w:p>
            <w:r/>
            <w:r>
              <w:rPr>
                <w:b w:val="0"/>
                <w:i w:val="0"/>
                <w:sz w:val="15"/>
              </w:rPr>
              <w:t>914</w:t>
            </w:r>
          </w:p>
        </w:tc>
        <w:tc>
          <w:tcPr>
            <w:tcW w:type="dxa" w:w="964"/>
          </w:tcPr>
          <w:p>
            <w:r/>
            <w:r>
              <w:rPr>
                <w:b w:val="0"/>
                <w:i w:val="0"/>
                <w:sz w:val="15"/>
              </w:rPr>
              <w:t>15.2%</w:t>
            </w:r>
          </w:p>
        </w:tc>
      </w:tr>
      <w:tr>
        <w:tc>
          <w:tcPr>
            <w:tcW w:type="dxa" w:w="964"/>
          </w:tcPr>
          <w:p>
            <w:r/>
            <w:r>
              <w:rPr>
                <w:b w:val="0"/>
                <w:i w:val="0"/>
                <w:sz w:val="15"/>
              </w:rPr>
              <w:t>2446</w:t>
            </w:r>
          </w:p>
        </w:tc>
        <w:tc>
          <w:tcPr>
            <w:tcW w:type="dxa" w:w="964"/>
          </w:tcPr>
          <w:p>
            <w:r/>
            <w:r>
              <w:rPr>
                <w:b w:val="0"/>
                <w:i w:val="0"/>
                <w:sz w:val="15"/>
              </w:rPr>
              <w:t>Autumn Orange</w:t>
            </w:r>
          </w:p>
        </w:tc>
        <w:tc>
          <w:tcPr>
            <w:tcW w:type="dxa" w:w="964"/>
          </w:tcPr>
          <w:p>
            <w:r/>
            <w:r>
              <w:rPr>
                <w:b w:val="0"/>
                <w:i w:val="0"/>
                <w:sz w:val="15"/>
              </w:rPr>
              <w:t>Rep B</w:t>
            </w:r>
          </w:p>
        </w:tc>
        <w:tc>
          <w:tcPr>
            <w:tcW w:type="dxa" w:w="964"/>
          </w:tcPr>
          <w:p>
            <w:r/>
            <w:r>
              <w:rPr>
                <w:b w:val="0"/>
                <w:i w:val="0"/>
                <w:sz w:val="15"/>
              </w:rPr>
              <w:t>293</w:t>
            </w:r>
          </w:p>
        </w:tc>
        <w:tc>
          <w:tcPr>
            <w:tcW w:type="dxa" w:w="964"/>
          </w:tcPr>
          <w:p>
            <w:r/>
            <w:r>
              <w:rPr>
                <w:b w:val="0"/>
                <w:i w:val="0"/>
                <w:sz w:val="15"/>
              </w:rPr>
              <w:t>-1.0%</w:t>
            </w:r>
          </w:p>
        </w:tc>
        <w:tc>
          <w:tcPr>
            <w:tcW w:type="dxa" w:w="964"/>
          </w:tcPr>
          <w:p>
            <w:r/>
            <w:r>
              <w:rPr>
                <w:b w:val="0"/>
                <w:i w:val="0"/>
                <w:sz w:val="15"/>
              </w:rPr>
              <w:t>21</w:t>
            </w:r>
          </w:p>
        </w:tc>
        <w:tc>
          <w:tcPr>
            <w:tcW w:type="dxa" w:w="964"/>
          </w:tcPr>
          <w:p>
            <w:r/>
            <w:r>
              <w:rPr>
                <w:b w:val="0"/>
                <w:i w:val="0"/>
                <w:sz w:val="15"/>
              </w:rPr>
              <w:t>6,153</w:t>
            </w:r>
          </w:p>
        </w:tc>
        <w:tc>
          <w:tcPr>
            <w:tcW w:type="dxa" w:w="964"/>
          </w:tcPr>
          <w:p>
            <w:r/>
            <w:r>
              <w:rPr>
                <w:b w:val="0"/>
                <w:i w:val="0"/>
                <w:sz w:val="15"/>
              </w:rPr>
              <w:t>394</w:t>
            </w:r>
          </w:p>
        </w:tc>
        <w:tc>
          <w:tcPr>
            <w:tcW w:type="dxa" w:w="964"/>
          </w:tcPr>
          <w:p>
            <w:r/>
            <w:r>
              <w:rPr>
                <w:b w:val="0"/>
                <w:i w:val="0"/>
                <w:sz w:val="15"/>
              </w:rPr>
              <w:t>76</w:t>
            </w:r>
          </w:p>
        </w:tc>
        <w:tc>
          <w:tcPr>
            <w:tcW w:type="dxa" w:w="964"/>
          </w:tcPr>
          <w:p>
            <w:r/>
            <w:r>
              <w:rPr>
                <w:b w:val="0"/>
                <w:i w:val="0"/>
                <w:sz w:val="15"/>
              </w:rPr>
              <w:t>1.2%</w:t>
            </w:r>
          </w:p>
        </w:tc>
      </w:tr>
      <w:tr>
        <w:tc>
          <w:tcPr>
            <w:tcW w:type="dxa" w:w="964"/>
          </w:tcPr>
          <w:p>
            <w:r/>
            <w:r>
              <w:rPr>
                <w:b w:val="0"/>
                <w:i w:val="0"/>
                <w:sz w:val="15"/>
              </w:rPr>
              <w:t>2448</w:t>
            </w:r>
          </w:p>
        </w:tc>
        <w:tc>
          <w:tcPr>
            <w:tcW w:type="dxa" w:w="964"/>
          </w:tcPr>
          <w:p>
            <w:r/>
            <w:r>
              <w:rPr>
                <w:b w:val="0"/>
                <w:i w:val="0"/>
                <w:sz w:val="15"/>
              </w:rPr>
              <w:t>Autumn Early Red</w:t>
            </w:r>
          </w:p>
        </w:tc>
        <w:tc>
          <w:tcPr>
            <w:tcW w:type="dxa" w:w="964"/>
          </w:tcPr>
          <w:p>
            <w:r/>
            <w:r>
              <w:rPr>
                <w:b w:val="0"/>
                <w:i w:val="0"/>
                <w:sz w:val="15"/>
              </w:rPr>
              <w:t>Rep B</w:t>
            </w:r>
          </w:p>
        </w:tc>
        <w:tc>
          <w:tcPr>
            <w:tcW w:type="dxa" w:w="964"/>
          </w:tcPr>
          <w:p>
            <w:r/>
            <w:r>
              <w:rPr>
                <w:b w:val="0"/>
                <w:i w:val="0"/>
                <w:sz w:val="15"/>
              </w:rPr>
              <w:t>1,964</w:t>
            </w:r>
          </w:p>
        </w:tc>
        <w:tc>
          <w:tcPr>
            <w:tcW w:type="dxa" w:w="964"/>
          </w:tcPr>
          <w:p>
            <w:r/>
            <w:r>
              <w:rPr>
                <w:b w:val="0"/>
                <w:i w:val="0"/>
                <w:sz w:val="15"/>
              </w:rPr>
              <w:t>-6.5%</w:t>
            </w:r>
          </w:p>
        </w:tc>
        <w:tc>
          <w:tcPr>
            <w:tcW w:type="dxa" w:w="964"/>
          </w:tcPr>
          <w:p>
            <w:r/>
            <w:r>
              <w:rPr>
                <w:b w:val="0"/>
                <w:i w:val="0"/>
                <w:sz w:val="15"/>
              </w:rPr>
              <w:t>21</w:t>
            </w:r>
          </w:p>
        </w:tc>
        <w:tc>
          <w:tcPr>
            <w:tcW w:type="dxa" w:w="964"/>
          </w:tcPr>
          <w:p>
            <w:r/>
            <w:r>
              <w:rPr>
                <w:b w:val="0"/>
                <w:i w:val="0"/>
                <w:sz w:val="15"/>
              </w:rPr>
              <w:t>41,244</w:t>
            </w:r>
          </w:p>
        </w:tc>
        <w:tc>
          <w:tcPr>
            <w:tcW w:type="dxa" w:w="964"/>
          </w:tcPr>
          <w:p>
            <w:r/>
            <w:r>
              <w:rPr>
                <w:b w:val="0"/>
                <w:i w:val="0"/>
                <w:sz w:val="15"/>
              </w:rPr>
              <w:t>395</w:t>
            </w:r>
          </w:p>
        </w:tc>
        <w:tc>
          <w:tcPr>
            <w:tcW w:type="dxa" w:w="964"/>
          </w:tcPr>
          <w:p>
            <w:r/>
            <w:r>
              <w:rPr>
                <w:b w:val="0"/>
                <w:i w:val="0"/>
                <w:sz w:val="15"/>
              </w:rPr>
              <w:t>4,080</w:t>
            </w:r>
          </w:p>
        </w:tc>
        <w:tc>
          <w:tcPr>
            <w:tcW w:type="dxa" w:w="964"/>
          </w:tcPr>
          <w:p>
            <w:r/>
            <w:r>
              <w:rPr>
                <w:b w:val="0"/>
                <w:i w:val="0"/>
                <w:sz w:val="15"/>
              </w:rPr>
              <w:t>9.9%</w:t>
            </w:r>
          </w:p>
        </w:tc>
      </w:tr>
      <w:tr>
        <w:tc>
          <w:tcPr>
            <w:tcW w:type="dxa" w:w="964"/>
          </w:tcPr>
          <w:p>
            <w:r/>
            <w:r>
              <w:rPr>
                <w:b w:val="0"/>
                <w:i w:val="0"/>
                <w:sz w:val="15"/>
              </w:rPr>
              <w:t>2449</w:t>
            </w:r>
          </w:p>
        </w:tc>
        <w:tc>
          <w:tcPr>
            <w:tcW w:type="dxa" w:w="964"/>
          </w:tcPr>
          <w:p>
            <w:r/>
            <w:r>
              <w:rPr>
                <w:b w:val="0"/>
                <w:i w:val="0"/>
                <w:sz w:val="15"/>
              </w:rPr>
              <w:t>Autumn Early Yellow</w:t>
            </w:r>
          </w:p>
        </w:tc>
        <w:tc>
          <w:tcPr>
            <w:tcW w:type="dxa" w:w="964"/>
          </w:tcPr>
          <w:p>
            <w:r/>
            <w:r>
              <w:rPr>
                <w:b w:val="0"/>
                <w:i w:val="0"/>
                <w:sz w:val="15"/>
              </w:rPr>
              <w:t>Rep B</w:t>
            </w:r>
          </w:p>
        </w:tc>
        <w:tc>
          <w:tcPr>
            <w:tcW w:type="dxa" w:w="964"/>
          </w:tcPr>
          <w:p>
            <w:r/>
            <w:r>
              <w:rPr>
                <w:b w:val="0"/>
                <w:i w:val="0"/>
                <w:sz w:val="15"/>
              </w:rPr>
              <w:t>316</w:t>
            </w:r>
          </w:p>
        </w:tc>
        <w:tc>
          <w:tcPr>
            <w:tcW w:type="dxa" w:w="964"/>
          </w:tcPr>
          <w:p>
            <w:r/>
            <w:r>
              <w:rPr>
                <w:b w:val="0"/>
                <w:i w:val="0"/>
                <w:sz w:val="15"/>
              </w:rPr>
              <w:t>-28.0%</w:t>
            </w:r>
          </w:p>
        </w:tc>
        <w:tc>
          <w:tcPr>
            <w:tcW w:type="dxa" w:w="964"/>
          </w:tcPr>
          <w:p>
            <w:r/>
            <w:r>
              <w:rPr>
                <w:b w:val="0"/>
                <w:i w:val="0"/>
                <w:sz w:val="15"/>
              </w:rPr>
              <w:t>21</w:t>
            </w:r>
          </w:p>
        </w:tc>
        <w:tc>
          <w:tcPr>
            <w:tcW w:type="dxa" w:w="964"/>
          </w:tcPr>
          <w:p>
            <w:r/>
            <w:r>
              <w:rPr>
                <w:b w:val="0"/>
                <w:i w:val="0"/>
                <w:sz w:val="15"/>
              </w:rPr>
              <w:t>6,636</w:t>
            </w:r>
          </w:p>
        </w:tc>
        <w:tc>
          <w:tcPr>
            <w:tcW w:type="dxa" w:w="964"/>
          </w:tcPr>
          <w:p>
            <w:r/>
            <w:r>
              <w:rPr>
                <w:b w:val="0"/>
                <w:i w:val="0"/>
                <w:sz w:val="15"/>
              </w:rPr>
              <w:t>423</w:t>
            </w:r>
          </w:p>
        </w:tc>
        <w:tc>
          <w:tcPr>
            <w:tcW w:type="dxa" w:w="964"/>
          </w:tcPr>
          <w:p>
            <w:r/>
            <w:r>
              <w:rPr>
                <w:b w:val="0"/>
                <w:i w:val="0"/>
                <w:sz w:val="15"/>
              </w:rPr>
              <w:t>584</w:t>
            </w:r>
          </w:p>
        </w:tc>
        <w:tc>
          <w:tcPr>
            <w:tcW w:type="dxa" w:w="964"/>
          </w:tcPr>
          <w:p>
            <w:r/>
            <w:r>
              <w:rPr>
                <w:b w:val="0"/>
                <w:i w:val="0"/>
                <w:sz w:val="15"/>
              </w:rPr>
              <w:t>8.8%</w:t>
            </w:r>
          </w:p>
        </w:tc>
      </w:tr>
      <w:tr>
        <w:tc>
          <w:tcPr>
            <w:tcW w:type="dxa" w:w="964"/>
          </w:tcPr>
          <w:p>
            <w:r/>
            <w:r>
              <w:rPr>
                <w:b w:val="0"/>
                <w:i w:val="0"/>
                <w:sz w:val="15"/>
              </w:rPr>
              <w:t>2481</w:t>
            </w:r>
          </w:p>
        </w:tc>
        <w:tc>
          <w:tcPr>
            <w:tcW w:type="dxa" w:w="964"/>
          </w:tcPr>
          <w:p>
            <w:r/>
            <w:r>
              <w:rPr>
                <w:b w:val="0"/>
                <w:i w:val="0"/>
                <w:sz w:val="15"/>
              </w:rPr>
              <w:t>Autumn Medium Red</w:t>
            </w:r>
          </w:p>
        </w:tc>
        <w:tc>
          <w:tcPr>
            <w:tcW w:type="dxa" w:w="964"/>
          </w:tcPr>
          <w:p>
            <w:r/>
            <w:r>
              <w:rPr>
                <w:b w:val="0"/>
                <w:i w:val="0"/>
                <w:sz w:val="15"/>
              </w:rPr>
              <w:t>Rep A</w:t>
            </w:r>
          </w:p>
        </w:tc>
        <w:tc>
          <w:tcPr>
            <w:tcW w:type="dxa" w:w="964"/>
          </w:tcPr>
          <w:p>
            <w:r/>
            <w:r>
              <w:rPr>
                <w:b w:val="0"/>
                <w:i w:val="0"/>
                <w:sz w:val="15"/>
              </w:rPr>
              <w:t>1,437</w:t>
            </w:r>
          </w:p>
        </w:tc>
        <w:tc>
          <w:tcPr>
            <w:tcW w:type="dxa" w:w="964"/>
          </w:tcPr>
          <w:p>
            <w:r/>
            <w:r>
              <w:rPr>
                <w:b w:val="0"/>
                <w:i w:val="0"/>
                <w:sz w:val="15"/>
              </w:rPr>
              <w:t>-18.8%</w:t>
            </w:r>
          </w:p>
        </w:tc>
        <w:tc>
          <w:tcPr>
            <w:tcW w:type="dxa" w:w="964"/>
          </w:tcPr>
          <w:p>
            <w:r/>
            <w:r>
              <w:rPr>
                <w:b w:val="0"/>
                <w:i w:val="0"/>
                <w:sz w:val="15"/>
              </w:rPr>
              <w:t>21</w:t>
            </w:r>
          </w:p>
        </w:tc>
        <w:tc>
          <w:tcPr>
            <w:tcW w:type="dxa" w:w="964"/>
          </w:tcPr>
          <w:p>
            <w:r/>
            <w:r>
              <w:rPr>
                <w:b w:val="0"/>
                <w:i w:val="0"/>
                <w:sz w:val="15"/>
              </w:rPr>
              <w:t>30,177</w:t>
            </w:r>
          </w:p>
        </w:tc>
        <w:tc>
          <w:tcPr>
            <w:tcW w:type="dxa" w:w="964"/>
          </w:tcPr>
          <w:p>
            <w:r/>
            <w:r>
              <w:rPr>
                <w:b w:val="0"/>
                <w:i w:val="0"/>
                <w:sz w:val="15"/>
              </w:rPr>
              <w:t>406</w:t>
            </w:r>
          </w:p>
        </w:tc>
        <w:tc>
          <w:tcPr>
            <w:tcW w:type="dxa" w:w="964"/>
          </w:tcPr>
          <w:p>
            <w:r/>
            <w:r>
              <w:rPr>
                <w:b w:val="0"/>
                <w:i w:val="0"/>
                <w:sz w:val="15"/>
              </w:rPr>
              <w:t>3,212</w:t>
            </w:r>
          </w:p>
        </w:tc>
        <w:tc>
          <w:tcPr>
            <w:tcW w:type="dxa" w:w="964"/>
          </w:tcPr>
          <w:p>
            <w:r/>
            <w:r>
              <w:rPr>
                <w:b w:val="0"/>
                <w:i w:val="0"/>
                <w:sz w:val="15"/>
              </w:rPr>
              <w:t>10.6%</w:t>
            </w:r>
          </w:p>
        </w:tc>
      </w:tr>
      <w:tr>
        <w:tc>
          <w:tcPr>
            <w:tcW w:type="dxa" w:w="964"/>
          </w:tcPr>
          <w:p>
            <w:r/>
            <w:r>
              <w:rPr>
                <w:b w:val="0"/>
                <w:i w:val="0"/>
                <w:sz w:val="15"/>
              </w:rPr>
              <w:t>2482</w:t>
            </w:r>
          </w:p>
        </w:tc>
        <w:tc>
          <w:tcPr>
            <w:tcW w:type="dxa" w:w="964"/>
          </w:tcPr>
          <w:p>
            <w:r/>
            <w:r>
              <w:rPr>
                <w:b w:val="0"/>
                <w:i w:val="0"/>
                <w:sz w:val="15"/>
              </w:rPr>
              <w:t>Autumn Late Red</w:t>
            </w:r>
          </w:p>
        </w:tc>
        <w:tc>
          <w:tcPr>
            <w:tcW w:type="dxa" w:w="964"/>
          </w:tcPr>
          <w:p>
            <w:r/>
            <w:r>
              <w:rPr>
                <w:b w:val="0"/>
                <w:i w:val="0"/>
                <w:sz w:val="15"/>
              </w:rPr>
              <w:t>Rep A</w:t>
            </w:r>
          </w:p>
        </w:tc>
        <w:tc>
          <w:tcPr>
            <w:tcW w:type="dxa" w:w="964"/>
          </w:tcPr>
          <w:p>
            <w:r/>
            <w:r>
              <w:rPr>
                <w:b w:val="0"/>
                <w:i w:val="0"/>
                <w:sz w:val="15"/>
              </w:rPr>
              <w:t>3,316</w:t>
            </w:r>
          </w:p>
        </w:tc>
        <w:tc>
          <w:tcPr>
            <w:tcW w:type="dxa" w:w="964"/>
          </w:tcPr>
          <w:p>
            <w:r/>
            <w:r>
              <w:rPr>
                <w:b w:val="0"/>
                <w:i w:val="0"/>
                <w:sz w:val="15"/>
              </w:rPr>
              <w:t>+20.5%</w:t>
            </w:r>
          </w:p>
        </w:tc>
        <w:tc>
          <w:tcPr>
            <w:tcW w:type="dxa" w:w="964"/>
          </w:tcPr>
          <w:p>
            <w:r/>
            <w:r>
              <w:rPr>
                <w:b w:val="0"/>
                <w:i w:val="0"/>
                <w:sz w:val="15"/>
              </w:rPr>
              <w:t>21</w:t>
            </w:r>
          </w:p>
        </w:tc>
        <w:tc>
          <w:tcPr>
            <w:tcW w:type="dxa" w:w="964"/>
          </w:tcPr>
          <w:p>
            <w:r/>
            <w:r>
              <w:rPr>
                <w:b w:val="0"/>
                <w:i w:val="0"/>
                <w:sz w:val="15"/>
              </w:rPr>
              <w:t>69,636</w:t>
            </w:r>
          </w:p>
        </w:tc>
        <w:tc>
          <w:tcPr>
            <w:tcW w:type="dxa" w:w="964"/>
          </w:tcPr>
          <w:p>
            <w:r/>
            <w:r>
              <w:rPr>
                <w:b w:val="0"/>
                <w:i w:val="0"/>
                <w:sz w:val="15"/>
              </w:rPr>
              <w:t>420</w:t>
            </w:r>
          </w:p>
        </w:tc>
        <w:tc>
          <w:tcPr>
            <w:tcW w:type="dxa" w:w="964"/>
          </w:tcPr>
          <w:p>
            <w:r/>
            <w:r>
              <w:rPr>
                <w:b w:val="0"/>
                <w:i w:val="0"/>
                <w:sz w:val="15"/>
              </w:rPr>
              <w:t>43,191</w:t>
            </w:r>
          </w:p>
        </w:tc>
        <w:tc>
          <w:tcPr>
            <w:tcW w:type="dxa" w:w="964"/>
          </w:tcPr>
          <w:p>
            <w:r/>
            <w:r>
              <w:rPr>
                <w:b w:val="0"/>
                <w:i w:val="0"/>
                <w:sz w:val="15"/>
              </w:rPr>
              <w:t>62.0%</w:t>
            </w:r>
          </w:p>
        </w:tc>
      </w:tr>
      <w:tr>
        <w:tc>
          <w:tcPr>
            <w:tcW w:type="dxa" w:w="964"/>
          </w:tcPr>
          <w:p>
            <w:r/>
            <w:r>
              <w:rPr>
                <w:b w:val="0"/>
                <w:i w:val="0"/>
                <w:sz w:val="15"/>
              </w:rPr>
              <w:t>2483</w:t>
            </w:r>
          </w:p>
        </w:tc>
        <w:tc>
          <w:tcPr>
            <w:tcW w:type="dxa" w:w="964"/>
          </w:tcPr>
          <w:p>
            <w:r/>
            <w:r>
              <w:rPr>
                <w:b w:val="0"/>
                <w:i w:val="0"/>
                <w:sz w:val="15"/>
              </w:rPr>
              <w:t>Autumn Medium Yellow</w:t>
            </w:r>
          </w:p>
        </w:tc>
        <w:tc>
          <w:tcPr>
            <w:tcW w:type="dxa" w:w="964"/>
          </w:tcPr>
          <w:p>
            <w:r/>
            <w:r>
              <w:rPr>
                <w:b w:val="0"/>
                <w:i w:val="0"/>
                <w:sz w:val="15"/>
              </w:rPr>
              <w:t>Rep A</w:t>
            </w:r>
          </w:p>
        </w:tc>
        <w:tc>
          <w:tcPr>
            <w:tcW w:type="dxa" w:w="964"/>
          </w:tcPr>
          <w:p>
            <w:r/>
            <w:r>
              <w:rPr>
                <w:b w:val="0"/>
                <w:i w:val="0"/>
                <w:sz w:val="15"/>
              </w:rPr>
              <w:t>1,122</w:t>
            </w:r>
          </w:p>
        </w:tc>
        <w:tc>
          <w:tcPr>
            <w:tcW w:type="dxa" w:w="964"/>
          </w:tcPr>
          <w:p>
            <w:r/>
            <w:r>
              <w:rPr>
                <w:b w:val="0"/>
                <w:i w:val="0"/>
                <w:sz w:val="15"/>
              </w:rPr>
              <w:t>+12.1%</w:t>
            </w:r>
          </w:p>
        </w:tc>
        <w:tc>
          <w:tcPr>
            <w:tcW w:type="dxa" w:w="964"/>
          </w:tcPr>
          <w:p>
            <w:r/>
            <w:r>
              <w:rPr>
                <w:b w:val="0"/>
                <w:i w:val="0"/>
                <w:sz w:val="15"/>
              </w:rPr>
              <w:t>21</w:t>
            </w:r>
          </w:p>
        </w:tc>
        <w:tc>
          <w:tcPr>
            <w:tcW w:type="dxa" w:w="964"/>
          </w:tcPr>
          <w:p>
            <w:r/>
            <w:r>
              <w:rPr>
                <w:b w:val="0"/>
                <w:i w:val="0"/>
                <w:sz w:val="15"/>
              </w:rPr>
              <w:t>23,562</w:t>
            </w:r>
          </w:p>
        </w:tc>
        <w:tc>
          <w:tcPr>
            <w:tcW w:type="dxa" w:w="964"/>
          </w:tcPr>
          <w:p>
            <w:r/>
            <w:r>
              <w:rPr>
                <w:b w:val="0"/>
                <w:i w:val="0"/>
                <w:sz w:val="15"/>
              </w:rPr>
              <w:t>406</w:t>
            </w:r>
          </w:p>
        </w:tc>
        <w:tc>
          <w:tcPr>
            <w:tcW w:type="dxa" w:w="964"/>
          </w:tcPr>
          <w:p>
            <w:r/>
            <w:r>
              <w:rPr>
                <w:b w:val="0"/>
                <w:i w:val="0"/>
                <w:sz w:val="15"/>
              </w:rPr>
              <w:t>1,343</w:t>
            </w:r>
          </w:p>
        </w:tc>
        <w:tc>
          <w:tcPr>
            <w:tcW w:type="dxa" w:w="964"/>
          </w:tcPr>
          <w:p>
            <w:r/>
            <w:r>
              <w:rPr>
                <w:b w:val="0"/>
                <w:i w:val="0"/>
                <w:sz w:val="15"/>
              </w:rPr>
              <w:t>5.7%</w:t>
            </w:r>
          </w:p>
        </w:tc>
      </w:tr>
      <w:tr>
        <w:tc>
          <w:tcPr>
            <w:tcW w:type="dxa" w:w="964"/>
          </w:tcPr>
          <w:p>
            <w:r/>
            <w:r>
              <w:rPr>
                <w:b w:val="0"/>
                <w:i w:val="0"/>
                <w:sz w:val="15"/>
              </w:rPr>
              <w:t>2484</w:t>
            </w:r>
          </w:p>
        </w:tc>
        <w:tc>
          <w:tcPr>
            <w:tcW w:type="dxa" w:w="964"/>
          </w:tcPr>
          <w:p>
            <w:r/>
            <w:r>
              <w:rPr>
                <w:b w:val="0"/>
                <w:i w:val="0"/>
                <w:sz w:val="15"/>
              </w:rPr>
              <w:t>Autumn Late Yellow</w:t>
            </w:r>
          </w:p>
        </w:tc>
        <w:tc>
          <w:tcPr>
            <w:tcW w:type="dxa" w:w="964"/>
          </w:tcPr>
          <w:p>
            <w:r/>
            <w:r>
              <w:rPr>
                <w:b w:val="0"/>
                <w:i w:val="0"/>
                <w:sz w:val="15"/>
              </w:rPr>
              <w:t>Rep A</w:t>
            </w:r>
          </w:p>
        </w:tc>
        <w:tc>
          <w:tcPr>
            <w:tcW w:type="dxa" w:w="964"/>
          </w:tcPr>
          <w:p>
            <w:r/>
            <w:r>
              <w:rPr>
                <w:b w:val="0"/>
                <w:i w:val="0"/>
                <w:sz w:val="15"/>
              </w:rPr>
              <w:t>316</w:t>
            </w:r>
          </w:p>
        </w:tc>
        <w:tc>
          <w:tcPr>
            <w:tcW w:type="dxa" w:w="964"/>
          </w:tcPr>
          <w:p>
            <w:r/>
            <w:r>
              <w:rPr>
                <w:b w:val="0"/>
                <w:i w:val="0"/>
                <w:sz w:val="15"/>
              </w:rPr>
              <w:t>+20.6%</w:t>
            </w:r>
          </w:p>
        </w:tc>
        <w:tc>
          <w:tcPr>
            <w:tcW w:type="dxa" w:w="964"/>
          </w:tcPr>
          <w:p>
            <w:r/>
            <w:r>
              <w:rPr>
                <w:b w:val="0"/>
                <w:i w:val="0"/>
                <w:sz w:val="15"/>
              </w:rPr>
              <w:t>21</w:t>
            </w:r>
          </w:p>
        </w:tc>
        <w:tc>
          <w:tcPr>
            <w:tcW w:type="dxa" w:w="964"/>
          </w:tcPr>
          <w:p>
            <w:r/>
            <w:r>
              <w:rPr>
                <w:b w:val="0"/>
                <w:i w:val="0"/>
                <w:sz w:val="15"/>
              </w:rPr>
              <w:t>6,636</w:t>
            </w:r>
          </w:p>
        </w:tc>
        <w:tc>
          <w:tcPr>
            <w:tcW w:type="dxa" w:w="964"/>
          </w:tcPr>
          <w:p>
            <w:r/>
            <w:r>
              <w:rPr>
                <w:b w:val="0"/>
                <w:i w:val="0"/>
                <w:sz w:val="15"/>
              </w:rPr>
              <w:t>397</w:t>
            </w:r>
          </w:p>
        </w:tc>
        <w:tc>
          <w:tcPr>
            <w:tcW w:type="dxa" w:w="964"/>
          </w:tcPr>
          <w:p>
            <w:r/>
            <w:r>
              <w:rPr>
                <w:b w:val="0"/>
                <w:i w:val="0"/>
                <w:sz w:val="15"/>
              </w:rPr>
              <w:t>485</w:t>
            </w:r>
          </w:p>
        </w:tc>
        <w:tc>
          <w:tcPr>
            <w:tcW w:type="dxa" w:w="964"/>
          </w:tcPr>
          <w:p>
            <w:r/>
            <w:r>
              <w:rPr>
                <w:b w:val="0"/>
                <w:i w:val="0"/>
                <w:sz w:val="15"/>
              </w:rPr>
              <w:t>7.3%</w:t>
            </w:r>
          </w:p>
        </w:tc>
      </w:tr>
    </w:tbl>
    <w:p>
      <w:pPr>
        <w:spacing w:after="40"/>
      </w:pPr>
    </w:p>
    <w:p>
      <w:pPr>
        <w:spacing w:after="120"/>
      </w:pPr>
      <w:r>
        <w:rPr>
          <w:b w:val="0"/>
          <w:i w:val="0"/>
          <w:sz w:val="19"/>
        </w:rPr>
        <w:t>Nine further Blocky PGH micro-segments exist in the hierarchy (2429-2431, 2441, 2442, 2445, 2447, 2485, 2486) but have no 2026 market area, so they are excluded from capture.</w:t>
      </w:r>
    </w:p>
    <w:p>
      <w:pPr>
        <w:pStyle w:val="Heading2"/>
      </w:pPr>
      <w:r>
        <w:t>3.3 Competitive landscape used by the app (2026)</w:t>
      </w:r>
    </w:p>
    <w:p>
      <w:pPr>
        <w:spacing w:after="40"/>
      </w:pPr>
      <w:r>
        <w:rPr>
          <w:b/>
          <w:sz w:val="18"/>
        </w:rPr>
        <w:t>Table 4. Blocky PGH competitor shares (Syngenta share recomputed from anonymized sales; others rescaled)</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835"/>
          </w:tcPr>
          <w:p>
            <w:r/>
            <w:r>
              <w:rPr>
                <w:b/>
                <w:sz w:val="17"/>
              </w:rPr>
              <w:t>Competitor</w:t>
            </w:r>
          </w:p>
        </w:tc>
        <w:tc>
          <w:tcPr>
            <w:tcW w:type="dxa" w:w="1701"/>
          </w:tcPr>
          <w:p>
            <w:r/>
            <w:r>
              <w:rPr>
                <w:b/>
                <w:sz w:val="17"/>
              </w:rPr>
              <w:t>Value share</w:t>
            </w:r>
          </w:p>
        </w:tc>
        <w:tc>
          <w:tcPr>
            <w:tcW w:type="dxa" w:w="1984"/>
          </w:tcPr>
          <w:p>
            <w:r/>
            <w:r>
              <w:rPr>
                <w:b/>
                <w:sz w:val="17"/>
              </w:rPr>
              <w:t>Value</w:t>
            </w:r>
          </w:p>
        </w:tc>
        <w:tc>
          <w:tcPr>
            <w:tcW w:type="dxa" w:w="1701"/>
          </w:tcPr>
          <w:p>
            <w:r/>
            <w:r>
              <w:rPr>
                <w:b/>
                <w:sz w:val="17"/>
              </w:rPr>
              <w:t>Trend</w:t>
            </w:r>
          </w:p>
        </w:tc>
      </w:tr>
      <w:tr>
        <w:tc>
          <w:tcPr>
            <w:tcW w:type="dxa" w:w="2835"/>
          </w:tcPr>
          <w:p>
            <w:r/>
            <w:r>
              <w:rPr>
                <w:b w:val="0"/>
                <w:i w:val="0"/>
                <w:sz w:val="17"/>
              </w:rPr>
              <w:t>Syngenta</w:t>
            </w:r>
          </w:p>
        </w:tc>
        <w:tc>
          <w:tcPr>
            <w:tcW w:type="dxa" w:w="1701"/>
          </w:tcPr>
          <w:p>
            <w:r/>
            <w:r>
              <w:rPr>
                <w:b w:val="0"/>
                <w:i w:val="0"/>
                <w:sz w:val="17"/>
              </w:rPr>
              <w:t>29.4%</w:t>
            </w:r>
          </w:p>
        </w:tc>
        <w:tc>
          <w:tcPr>
            <w:tcW w:type="dxa" w:w="1984"/>
          </w:tcPr>
          <w:p>
            <w:r/>
            <w:r>
              <w:rPr>
                <w:b w:val="0"/>
                <w:i w:val="0"/>
                <w:sz w:val="17"/>
              </w:rPr>
              <w:t>EUR 26.60M</w:t>
            </w:r>
          </w:p>
        </w:tc>
        <w:tc>
          <w:tcPr>
            <w:tcW w:type="dxa" w:w="1701"/>
          </w:tcPr>
          <w:p>
            <w:r/>
            <w:r>
              <w:rPr>
                <w:b w:val="0"/>
                <w:i w:val="0"/>
                <w:sz w:val="17"/>
              </w:rPr>
              <w:t>Growing</w:t>
            </w:r>
          </w:p>
        </w:tc>
      </w:tr>
      <w:tr>
        <w:tc>
          <w:tcPr>
            <w:tcW w:type="dxa" w:w="2835"/>
          </w:tcPr>
          <w:p>
            <w:r/>
            <w:r>
              <w:rPr>
                <w:b w:val="0"/>
                <w:i w:val="0"/>
                <w:sz w:val="17"/>
              </w:rPr>
              <w:t>Limagrain</w:t>
            </w:r>
          </w:p>
        </w:tc>
        <w:tc>
          <w:tcPr>
            <w:tcW w:type="dxa" w:w="1701"/>
          </w:tcPr>
          <w:p>
            <w:r/>
            <w:r>
              <w:rPr>
                <w:b w:val="0"/>
                <w:i w:val="0"/>
                <w:sz w:val="17"/>
              </w:rPr>
              <w:t>22.5%</w:t>
            </w:r>
          </w:p>
        </w:tc>
        <w:tc>
          <w:tcPr>
            <w:tcW w:type="dxa" w:w="1984"/>
          </w:tcPr>
          <w:p>
            <w:r/>
            <w:r>
              <w:rPr>
                <w:b w:val="0"/>
                <w:i w:val="0"/>
                <w:sz w:val="17"/>
              </w:rPr>
              <w:t>EUR 20.34M</w:t>
            </w:r>
          </w:p>
        </w:tc>
        <w:tc>
          <w:tcPr>
            <w:tcW w:type="dxa" w:w="1701"/>
          </w:tcPr>
          <w:p>
            <w:r/>
            <w:r>
              <w:rPr>
                <w:b w:val="0"/>
                <w:i w:val="0"/>
                <w:sz w:val="17"/>
              </w:rPr>
              <w:t>Growing</w:t>
            </w:r>
          </w:p>
        </w:tc>
      </w:tr>
      <w:tr>
        <w:tc>
          <w:tcPr>
            <w:tcW w:type="dxa" w:w="2835"/>
          </w:tcPr>
          <w:p>
            <w:r/>
            <w:r>
              <w:rPr>
                <w:b w:val="0"/>
                <w:i w:val="0"/>
                <w:sz w:val="17"/>
              </w:rPr>
              <w:t>Others</w:t>
            </w:r>
          </w:p>
        </w:tc>
        <w:tc>
          <w:tcPr>
            <w:tcW w:type="dxa" w:w="1701"/>
          </w:tcPr>
          <w:p>
            <w:r/>
            <w:r>
              <w:rPr>
                <w:b w:val="0"/>
                <w:i w:val="0"/>
                <w:sz w:val="17"/>
              </w:rPr>
              <w:t>14.3%</w:t>
            </w:r>
          </w:p>
        </w:tc>
        <w:tc>
          <w:tcPr>
            <w:tcW w:type="dxa" w:w="1984"/>
          </w:tcPr>
          <w:p>
            <w:r/>
            <w:r>
              <w:rPr>
                <w:b w:val="0"/>
                <w:i w:val="0"/>
                <w:sz w:val="17"/>
              </w:rPr>
              <w:t>EUR 12.93M</w:t>
            </w:r>
          </w:p>
        </w:tc>
        <w:tc>
          <w:tcPr>
            <w:tcW w:type="dxa" w:w="1701"/>
          </w:tcPr>
          <w:p>
            <w:r/>
            <w:r>
              <w:rPr>
                <w:b w:val="0"/>
                <w:i w:val="0"/>
                <w:sz w:val="17"/>
              </w:rPr>
              <w:t>Declining</w:t>
            </w:r>
          </w:p>
        </w:tc>
      </w:tr>
      <w:tr>
        <w:tc>
          <w:tcPr>
            <w:tcW w:type="dxa" w:w="2835"/>
          </w:tcPr>
          <w:p>
            <w:r/>
            <w:r>
              <w:rPr>
                <w:b w:val="0"/>
                <w:i w:val="0"/>
                <w:sz w:val="17"/>
              </w:rPr>
              <w:t>Sur Seeds</w:t>
            </w:r>
          </w:p>
        </w:tc>
        <w:tc>
          <w:tcPr>
            <w:tcW w:type="dxa" w:w="1701"/>
          </w:tcPr>
          <w:p>
            <w:r/>
            <w:r>
              <w:rPr>
                <w:b w:val="0"/>
                <w:i w:val="0"/>
                <w:sz w:val="17"/>
              </w:rPr>
              <w:t>14.3%</w:t>
            </w:r>
          </w:p>
        </w:tc>
        <w:tc>
          <w:tcPr>
            <w:tcW w:type="dxa" w:w="1984"/>
          </w:tcPr>
          <w:p>
            <w:r/>
            <w:r>
              <w:rPr>
                <w:b w:val="0"/>
                <w:i w:val="0"/>
                <w:sz w:val="17"/>
              </w:rPr>
              <w:t>EUR 12.93M</w:t>
            </w:r>
          </w:p>
        </w:tc>
        <w:tc>
          <w:tcPr>
            <w:tcW w:type="dxa" w:w="1701"/>
          </w:tcPr>
          <w:p>
            <w:r/>
            <w:r>
              <w:rPr>
                <w:b w:val="0"/>
                <w:i w:val="0"/>
                <w:sz w:val="17"/>
              </w:rPr>
              <w:t>Growing</w:t>
            </w:r>
          </w:p>
        </w:tc>
      </w:tr>
      <w:tr>
        <w:tc>
          <w:tcPr>
            <w:tcW w:type="dxa" w:w="2835"/>
          </w:tcPr>
          <w:p>
            <w:r/>
            <w:r>
              <w:rPr>
                <w:b w:val="0"/>
                <w:i w:val="0"/>
                <w:sz w:val="17"/>
              </w:rPr>
              <w:t>Rijk Zwaan</w:t>
            </w:r>
          </w:p>
        </w:tc>
        <w:tc>
          <w:tcPr>
            <w:tcW w:type="dxa" w:w="1701"/>
          </w:tcPr>
          <w:p>
            <w:r/>
            <w:r>
              <w:rPr>
                <w:b w:val="0"/>
                <w:i w:val="0"/>
                <w:sz w:val="17"/>
              </w:rPr>
              <w:t>6.1%</w:t>
            </w:r>
          </w:p>
        </w:tc>
        <w:tc>
          <w:tcPr>
            <w:tcW w:type="dxa" w:w="1984"/>
          </w:tcPr>
          <w:p>
            <w:r/>
            <w:r>
              <w:rPr>
                <w:b w:val="0"/>
                <w:i w:val="0"/>
                <w:sz w:val="17"/>
              </w:rPr>
              <w:t>EUR 5.51M</w:t>
            </w:r>
          </w:p>
        </w:tc>
        <w:tc>
          <w:tcPr>
            <w:tcW w:type="dxa" w:w="1701"/>
          </w:tcPr>
          <w:p>
            <w:r/>
            <w:r>
              <w:rPr>
                <w:b w:val="0"/>
                <w:i w:val="0"/>
                <w:sz w:val="17"/>
              </w:rPr>
              <w:t>Growing</w:t>
            </w:r>
          </w:p>
        </w:tc>
      </w:tr>
      <w:tr>
        <w:tc>
          <w:tcPr>
            <w:tcW w:type="dxa" w:w="2835"/>
          </w:tcPr>
          <w:p>
            <w:r/>
            <w:r>
              <w:rPr>
                <w:b w:val="0"/>
                <w:i w:val="0"/>
                <w:sz w:val="17"/>
              </w:rPr>
              <w:t>Enza Zaden</w:t>
            </w:r>
          </w:p>
        </w:tc>
        <w:tc>
          <w:tcPr>
            <w:tcW w:type="dxa" w:w="1701"/>
          </w:tcPr>
          <w:p>
            <w:r/>
            <w:r>
              <w:rPr>
                <w:b w:val="0"/>
                <w:i w:val="0"/>
                <w:sz w:val="17"/>
              </w:rPr>
              <w:t>4.1%</w:t>
            </w:r>
          </w:p>
        </w:tc>
        <w:tc>
          <w:tcPr>
            <w:tcW w:type="dxa" w:w="1984"/>
          </w:tcPr>
          <w:p>
            <w:r/>
            <w:r>
              <w:rPr>
                <w:b w:val="0"/>
                <w:i w:val="0"/>
                <w:sz w:val="17"/>
              </w:rPr>
              <w:t>EUR 3.71M</w:t>
            </w:r>
          </w:p>
        </w:tc>
        <w:tc>
          <w:tcPr>
            <w:tcW w:type="dxa" w:w="1701"/>
          </w:tcPr>
          <w:p>
            <w:r/>
            <w:r>
              <w:rPr>
                <w:b w:val="0"/>
                <w:i w:val="0"/>
                <w:sz w:val="17"/>
              </w:rPr>
              <w:t>Declining</w:t>
            </w:r>
          </w:p>
        </w:tc>
      </w:tr>
      <w:tr>
        <w:tc>
          <w:tcPr>
            <w:tcW w:type="dxa" w:w="2835"/>
          </w:tcPr>
          <w:p>
            <w:r/>
            <w:r>
              <w:rPr>
                <w:b w:val="0"/>
                <w:i w:val="0"/>
                <w:sz w:val="17"/>
              </w:rPr>
              <w:t>Nunhems/BASF</w:t>
            </w:r>
          </w:p>
        </w:tc>
        <w:tc>
          <w:tcPr>
            <w:tcW w:type="dxa" w:w="1701"/>
          </w:tcPr>
          <w:p>
            <w:r/>
            <w:r>
              <w:rPr>
                <w:b w:val="0"/>
                <w:i w:val="0"/>
                <w:sz w:val="17"/>
              </w:rPr>
              <w:t>3.1%</w:t>
            </w:r>
          </w:p>
        </w:tc>
        <w:tc>
          <w:tcPr>
            <w:tcW w:type="dxa" w:w="1984"/>
          </w:tcPr>
          <w:p>
            <w:r/>
            <w:r>
              <w:rPr>
                <w:b w:val="0"/>
                <w:i w:val="0"/>
                <w:sz w:val="17"/>
              </w:rPr>
              <w:t>EUR 2.80M</w:t>
            </w:r>
          </w:p>
        </w:tc>
        <w:tc>
          <w:tcPr>
            <w:tcW w:type="dxa" w:w="1701"/>
          </w:tcPr>
          <w:p>
            <w:r/>
            <w:r>
              <w:rPr>
                <w:b w:val="0"/>
                <w:i w:val="0"/>
                <w:sz w:val="17"/>
              </w:rPr>
              <w:t>Growing</w:t>
            </w:r>
          </w:p>
        </w:tc>
      </w:tr>
      <w:tr>
        <w:tc>
          <w:tcPr>
            <w:tcW w:type="dxa" w:w="2835"/>
          </w:tcPr>
          <w:p>
            <w:r/>
            <w:r>
              <w:rPr>
                <w:b w:val="0"/>
                <w:i w:val="0"/>
                <w:sz w:val="17"/>
              </w:rPr>
              <w:t>Semillas Fito</w:t>
            </w:r>
          </w:p>
        </w:tc>
        <w:tc>
          <w:tcPr>
            <w:tcW w:type="dxa" w:w="1701"/>
          </w:tcPr>
          <w:p>
            <w:r/>
            <w:r>
              <w:rPr>
                <w:b w:val="0"/>
                <w:i w:val="0"/>
                <w:sz w:val="17"/>
              </w:rPr>
              <w:t>3.1%</w:t>
            </w:r>
          </w:p>
        </w:tc>
        <w:tc>
          <w:tcPr>
            <w:tcW w:type="dxa" w:w="1984"/>
          </w:tcPr>
          <w:p>
            <w:r/>
            <w:r>
              <w:rPr>
                <w:b w:val="0"/>
                <w:i w:val="0"/>
                <w:sz w:val="17"/>
              </w:rPr>
              <w:t>EUR 2.80M</w:t>
            </w:r>
          </w:p>
        </w:tc>
        <w:tc>
          <w:tcPr>
            <w:tcW w:type="dxa" w:w="1701"/>
          </w:tcPr>
          <w:p>
            <w:r/>
            <w:r>
              <w:rPr>
                <w:b w:val="0"/>
                <w:i w:val="0"/>
                <w:sz w:val="17"/>
              </w:rPr>
              <w:t>Declining</w:t>
            </w:r>
          </w:p>
        </w:tc>
      </w:tr>
      <w:tr>
        <w:tc>
          <w:tcPr>
            <w:tcW w:type="dxa" w:w="2835"/>
          </w:tcPr>
          <w:p>
            <w:r/>
            <w:r>
              <w:rPr>
                <w:b w:val="0"/>
                <w:i w:val="0"/>
                <w:sz w:val="17"/>
              </w:rPr>
              <w:t>Panora Seeds</w:t>
            </w:r>
          </w:p>
        </w:tc>
        <w:tc>
          <w:tcPr>
            <w:tcW w:type="dxa" w:w="1701"/>
          </w:tcPr>
          <w:p>
            <w:r/>
            <w:r>
              <w:rPr>
                <w:b w:val="0"/>
                <w:i w:val="0"/>
                <w:sz w:val="17"/>
              </w:rPr>
              <w:t>3.1%</w:t>
            </w:r>
          </w:p>
        </w:tc>
        <w:tc>
          <w:tcPr>
            <w:tcW w:type="dxa" w:w="1984"/>
          </w:tcPr>
          <w:p>
            <w:r/>
            <w:r>
              <w:rPr>
                <w:b w:val="0"/>
                <w:i w:val="0"/>
                <w:sz w:val="17"/>
              </w:rPr>
              <w:t>EUR 2.80M</w:t>
            </w:r>
          </w:p>
        </w:tc>
        <w:tc>
          <w:tcPr>
            <w:tcW w:type="dxa" w:w="1701"/>
          </w:tcPr>
          <w:p>
            <w:r/>
            <w:r>
              <w:rPr>
                <w:b w:val="0"/>
                <w:i w:val="0"/>
                <w:sz w:val="17"/>
              </w:rPr>
              <w:t>Growing</w:t>
            </w:r>
          </w:p>
        </w:tc>
      </w:tr>
    </w:tbl>
    <w:p>
      <w:pPr>
        <w:spacing w:after="40"/>
      </w:pPr>
    </w:p>
    <w:p>
      <w:pPr>
        <w:pStyle w:val="Heading2"/>
      </w:pPr>
      <w:r>
        <w:t>3.4 Constraints honoured</w:t>
      </w:r>
    </w:p>
    <w:p>
      <w:pPr>
        <w:pStyle w:val="ListBullet"/>
        <w:spacing w:after="40"/>
      </w:pPr>
      <w:r>
        <w:rPr>
          <w:b/>
          <w:i w:val="0"/>
        </w:rPr>
        <w:t>No forecasting model.</w:t>
      </w:r>
      <w:r>
        <w:rPr>
          <w:b w:val="0"/>
          <w:i w:val="0"/>
        </w:rPr>
        <w:t xml:space="preserve"> Every number and every range comes from the rep. The app only calculates, checks, records and summarizes.</w:t>
      </w:r>
    </w:p>
    <w:p>
      <w:pPr>
        <w:pStyle w:val="ListBullet"/>
        <w:spacing w:after="40"/>
      </w:pPr>
      <w:r>
        <w:rPr>
          <w:b/>
          <w:i w:val="0"/>
        </w:rPr>
        <w:t>Synthetic sales.</w:t>
      </w:r>
      <w:r>
        <w:rPr>
          <w:b w:val="0"/>
          <w:i w:val="0"/>
        </w:rPr>
        <w:t xml:space="preserve"> Syngenta quantities and values are multiplied by one hidden factor with 3% per-row noise; rep names are replaced by Rep A / Rep B.</w:t>
      </w:r>
    </w:p>
    <w:p>
      <w:pPr>
        <w:pStyle w:val="ListBullet"/>
        <w:spacing w:after="40"/>
      </w:pPr>
      <w:r>
        <w:rPr>
          <w:b/>
          <w:i w:val="0"/>
        </w:rPr>
        <w:t>No live systems.</w:t>
      </w:r>
      <w:r>
        <w:rPr>
          <w:b w:val="0"/>
          <w:i w:val="0"/>
        </w:rPr>
        <w:t xml:space="preserve"> All data is loaded from the supplied spreadsheets; monthly layers are synthetic.</w:t>
      </w:r>
    </w:p>
    <w:p>
      <w:pPr>
        <w:pStyle w:val="ListBullet"/>
        <w:spacing w:after="40"/>
      </w:pPr>
      <w:r>
        <w:rPr>
          <w:b/>
          <w:i w:val="0"/>
        </w:rPr>
        <w:t>Public sources only.</w:t>
      </w:r>
      <w:r>
        <w:rPr>
          <w:b w:val="0"/>
          <w:i w:val="0"/>
        </w:rPr>
        <w:t xml:space="preserve"> No scraping. Spain's agriculture ministry statistics (MAPA/ESYRCE) are named as the outside check for hectares but not fetched.</w:t>
      </w:r>
    </w:p>
    <w:p>
      <w:pPr>
        <w:pStyle w:val="ListBullet"/>
        <w:spacing w:after="40"/>
      </w:pPr>
      <w:r>
        <w:rPr>
          <w:b/>
          <w:i w:val="0"/>
        </w:rPr>
        <w:t>Out of scope.</w:t>
      </w:r>
      <w:r>
        <w:rPr>
          <w:b w:val="0"/>
          <w:i w:val="0"/>
        </w:rPr>
        <w:t xml:space="preserve"> Territory and geographic roll-up, other crops and countries, treatment of FPI launches in share (open SME question).</w:t>
      </w:r>
    </w:p>
    <w:p>
      <w:r>
        <w:br w:type="page"/>
      </w:r>
    </w:p>
    <w:p>
      <w:pPr>
        <w:pStyle w:val="Heading1"/>
      </w:pPr>
      <w:r>
        <w:t>4. Users, roles and permissions</w:t>
      </w:r>
    </w:p>
    <w:p>
      <w:pPr>
        <w:spacing w:after="120"/>
      </w:pPr>
      <w:r>
        <w:rPr>
          <w:b w:val="0"/>
          <w:i w:val="0"/>
        </w:rPr>
        <w:t>The demo uses a role switcher in the header instead of sign-in (the backend reads an X-Demo-User header). Real authentication (for example Firebase Auth) must replace it before any real data is used.</w:t>
      </w:r>
    </w:p>
    <w:p>
      <w:pPr>
        <w:spacing w:after="40"/>
      </w:pPr>
      <w:r>
        <w:rPr>
          <w:b/>
          <w:sz w:val="18"/>
        </w:rPr>
        <w:t>Table 5. Roles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474"/>
          </w:tcPr>
          <w:p>
            <w:r/>
            <w:r>
              <w:rPr>
                <w:b/>
                <w:sz w:val="17"/>
              </w:rPr>
              <w:t>User</w:t>
            </w:r>
          </w:p>
        </w:tc>
        <w:tc>
          <w:tcPr>
            <w:tcW w:type="dxa" w:w="2041"/>
          </w:tcPr>
          <w:p>
            <w:r/>
            <w:r>
              <w:rPr>
                <w:b/>
                <w:sz w:val="17"/>
              </w:rPr>
              <w:t>Role</w:t>
            </w:r>
          </w:p>
        </w:tc>
        <w:tc>
          <w:tcPr>
            <w:tcW w:type="dxa" w:w="2041"/>
          </w:tcPr>
          <w:p>
            <w:r/>
            <w:r>
              <w:rPr>
                <w:b/>
                <w:sz w:val="17"/>
              </w:rPr>
              <w:t>Owns</w:t>
            </w:r>
          </w:p>
        </w:tc>
        <w:tc>
          <w:tcPr>
            <w:tcW w:type="dxa" w:w="4082"/>
          </w:tcPr>
          <w:p>
            <w:r/>
            <w:r>
              <w:rPr>
                <w:b/>
                <w:sz w:val="17"/>
              </w:rPr>
              <w:t>Can do</w:t>
            </w:r>
          </w:p>
        </w:tc>
      </w:tr>
      <w:tr>
        <w:tc>
          <w:tcPr>
            <w:tcW w:type="dxa" w:w="1474"/>
          </w:tcPr>
          <w:p>
            <w:r/>
            <w:r>
              <w:rPr>
                <w:b w:val="0"/>
                <w:i w:val="0"/>
                <w:sz w:val="17"/>
              </w:rPr>
              <w:t>Rep A</w:t>
            </w:r>
          </w:p>
        </w:tc>
        <w:tc>
          <w:tcPr>
            <w:tcW w:type="dxa" w:w="2041"/>
          </w:tcPr>
          <w:p>
            <w:r/>
            <w:r>
              <w:rPr>
                <w:b w:val="0"/>
                <w:i w:val="0"/>
                <w:sz w:val="17"/>
              </w:rPr>
              <w:t>Sales rep (autumn cycles)</w:t>
            </w:r>
          </w:p>
        </w:tc>
        <w:tc>
          <w:tcPr>
            <w:tcW w:type="dxa" w:w="2041"/>
          </w:tcPr>
          <w:p>
            <w:r/>
            <w:r>
              <w:rPr>
                <w:b w:val="0"/>
                <w:i w:val="0"/>
                <w:sz w:val="17"/>
              </w:rPr>
              <w:t>2481, 2482, 2483, 2484</w:t>
            </w:r>
          </w:p>
        </w:tc>
        <w:tc>
          <w:tcPr>
            <w:tcW w:type="dxa" w:w="4082"/>
          </w:tcPr>
          <w:p>
            <w:r/>
            <w:r>
              <w:rPr>
                <w:b w:val="0"/>
                <w:i w:val="0"/>
                <w:sz w:val="17"/>
              </w:rPr>
              <w:t>View all segments; submit demand only for owned segments and open months; structure justifications; see own track record.</w:t>
            </w:r>
          </w:p>
        </w:tc>
      </w:tr>
      <w:tr>
        <w:tc>
          <w:tcPr>
            <w:tcW w:type="dxa" w:w="1474"/>
          </w:tcPr>
          <w:p>
            <w:r/>
            <w:r>
              <w:rPr>
                <w:b w:val="0"/>
                <w:i w:val="0"/>
                <w:sz w:val="17"/>
              </w:rPr>
              <w:t>Rep B</w:t>
            </w:r>
          </w:p>
        </w:tc>
        <w:tc>
          <w:tcPr>
            <w:tcW w:type="dxa" w:w="2041"/>
          </w:tcPr>
          <w:p>
            <w:r/>
            <w:r>
              <w:rPr>
                <w:b w:val="0"/>
                <w:i w:val="0"/>
                <w:sz w:val="17"/>
              </w:rPr>
              <w:t>Sales rep (early and spring cycles)</w:t>
            </w:r>
          </w:p>
        </w:tc>
        <w:tc>
          <w:tcPr>
            <w:tcW w:type="dxa" w:w="2041"/>
          </w:tcPr>
          <w:p>
            <w:r/>
            <w:r>
              <w:rPr>
                <w:b w:val="0"/>
                <w:i w:val="0"/>
                <w:sz w:val="17"/>
              </w:rPr>
              <w:t>2432, 2433, 2446, 2448, 2449</w:t>
            </w:r>
          </w:p>
        </w:tc>
        <w:tc>
          <w:tcPr>
            <w:tcW w:type="dxa" w:w="4082"/>
          </w:tcPr>
          <w:p>
            <w:r/>
            <w:r>
              <w:rPr>
                <w:b w:val="0"/>
                <w:i w:val="0"/>
                <w:sz w:val="17"/>
              </w:rPr>
              <w:t>Same as Rep A for owned segments.</w:t>
            </w:r>
          </w:p>
        </w:tc>
      </w:tr>
      <w:tr>
        <w:tc>
          <w:tcPr>
            <w:tcW w:type="dxa" w:w="1474"/>
          </w:tcPr>
          <w:p>
            <w:r/>
            <w:r>
              <w:rPr>
                <w:b w:val="0"/>
                <w:i w:val="0"/>
                <w:sz w:val="17"/>
              </w:rPr>
              <w:t>Consensus lead</w:t>
            </w:r>
          </w:p>
        </w:tc>
        <w:tc>
          <w:tcPr>
            <w:tcW w:type="dxa" w:w="2041"/>
          </w:tcPr>
          <w:p>
            <w:r/>
            <w:r>
              <w:rPr>
                <w:b w:val="0"/>
                <w:i w:val="0"/>
                <w:sz w:val="17"/>
              </w:rPr>
              <w:t>Product specialist</w:t>
            </w:r>
          </w:p>
        </w:tc>
        <w:tc>
          <w:tcPr>
            <w:tcW w:type="dxa" w:w="2041"/>
          </w:tcPr>
          <w:p>
            <w:r/>
            <w:r>
              <w:rPr>
                <w:b w:val="0"/>
                <w:i w:val="0"/>
                <w:sz w:val="17"/>
              </w:rPr>
              <w:t>-</w:t>
            </w:r>
          </w:p>
        </w:tc>
        <w:tc>
          <w:tcPr>
            <w:tcW w:type="dxa" w:w="4082"/>
          </w:tcPr>
          <w:p>
            <w:r/>
            <w:r>
              <w:rPr>
                <w:b w:val="0"/>
                <w:i w:val="0"/>
                <w:sz w:val="17"/>
              </w:rPr>
              <w:t>See the exceptions queue; approve / discuss / challenge; bulk-approve routine lines; draft RTB; export the supply CSV.</w:t>
            </w:r>
          </w:p>
        </w:tc>
      </w:tr>
      <w:tr>
        <w:tc>
          <w:tcPr>
            <w:tcW w:type="dxa" w:w="1474"/>
          </w:tcPr>
          <w:p>
            <w:r/>
            <w:r>
              <w:rPr>
                <w:b w:val="0"/>
                <w:i w:val="0"/>
                <w:sz w:val="17"/>
              </w:rPr>
              <w:t>Anyone (demo)</w:t>
            </w:r>
          </w:p>
        </w:tc>
        <w:tc>
          <w:tcPr>
            <w:tcW w:type="dxa" w:w="2041"/>
          </w:tcPr>
          <w:p>
            <w:r/>
            <w:r>
              <w:rPr>
                <w:b w:val="0"/>
                <w:i w:val="0"/>
                <w:sz w:val="17"/>
              </w:rPr>
              <w:t>-</w:t>
            </w:r>
          </w:p>
        </w:tc>
        <w:tc>
          <w:tcPr>
            <w:tcW w:type="dxa" w:w="2041"/>
          </w:tcPr>
          <w:p>
            <w:r/>
            <w:r>
              <w:rPr>
                <w:b w:val="0"/>
                <w:i w:val="0"/>
                <w:sz w:val="17"/>
              </w:rPr>
              <w:t>-</w:t>
            </w:r>
          </w:p>
        </w:tc>
        <w:tc>
          <w:tcPr>
            <w:tcW w:type="dxa" w:w="4082"/>
          </w:tcPr>
          <w:p>
            <w:r/>
            <w:r>
              <w:rPr>
                <w:b w:val="0"/>
                <w:i w:val="0"/>
                <w:sz w:val="17"/>
              </w:rPr>
              <w:t>Advance the demo month; reset demo data; view Ledger, Track record and Data quality.</w:t>
            </w:r>
          </w:p>
        </w:tc>
      </w:tr>
    </w:tbl>
    <w:p>
      <w:pPr>
        <w:spacing w:after="40"/>
      </w:pPr>
    </w:p>
    <w:p>
      <w:pPr>
        <w:spacing w:after="120"/>
      </w:pPr>
      <w:r>
        <w:rPr>
          <w:b w:val="0"/>
          <w:i w:val="0"/>
        </w:rPr>
        <w:t>Server-side rules enforced regardless of the UI: only the owning rep can submit for a segment (403 otherwise); closed months (before the demo clock) are rejected (400); a flagged entry without a justification is rejected (422); low &lt;= value &lt;= high is validated; only the consensus lead can approve or bulk-approve (403).</w:t>
      </w:r>
    </w:p>
    <w:p>
      <w:pPr>
        <w:pStyle w:val="Heading1"/>
      </w:pPr>
      <w:r>
        <w:t>5. How a user interacts with the application</w:t>
      </w:r>
    </w:p>
    <w:p>
      <w:pPr>
        <w:spacing w:after="120"/>
      </w:pPr>
      <w:r>
        <w:rPr>
          <w:b w:val="0"/>
          <w:i w:val="0"/>
        </w:rPr>
        <w:t>Open https://skystream-510015.web.app. The header shows the locked scope, the AI status (Jev live / Gemini on), the demo clock (starts at September 2026), the Advance month and Reset buttons, and the Acting as selector. Navigation tabs below the header adapt to the role: reps see Capture; the lead sees Consensus.</w:t>
      </w:r>
    </w:p>
    <w:p>
      <w:pPr>
        <w:pStyle w:val="Heading2"/>
      </w:pPr>
      <w:r>
        <w:t>5.1 Capture (sales rep)</w:t>
      </w:r>
    </w:p>
    <w:p>
      <w:pPr>
        <w:jc w:val="center"/>
      </w:pPr>
      <w:r>
        <w:drawing>
          <wp:inline xmlns:a="http://schemas.openxmlformats.org/drawingml/2006/main" xmlns:pic="http://schemas.openxmlformats.org/drawingml/2006/picture">
            <wp:extent cx="6120000" cy="5087250"/>
            <wp:docPr id="1" name="Picture 1"/>
            <wp:cNvGraphicFramePr>
              <a:graphicFrameLocks noChangeAspect="1"/>
            </wp:cNvGraphicFramePr>
            <a:graphic>
              <a:graphicData uri="http://schemas.openxmlformats.org/drawingml/2006/picture">
                <pic:pic>
                  <pic:nvPicPr>
                    <pic:cNvPr id="0" name="01-baseline.png"/>
                    <pic:cNvPicPr/>
                  </pic:nvPicPr>
                  <pic:blipFill>
                    <a:blip r:embed="rId10"/>
                    <a:stretch>
                      <a:fillRect/>
                    </a:stretch>
                  </pic:blipFill>
                  <pic:spPr>
                    <a:xfrm>
                      <a:off x="0" y="0"/>
                      <a:ext cx="6120000" cy="5087250"/>
                    </a:xfrm>
                    <a:prstGeom prst="rect"/>
                  </pic:spPr>
                </pic:pic>
              </a:graphicData>
            </a:graphic>
          </wp:inline>
        </w:drawing>
      </w:r>
    </w:p>
    <w:p>
      <w:pPr>
        <w:jc w:val="center"/>
      </w:pPr>
      <w:r>
        <w:rPr>
          <w:i/>
          <w:sz w:val="18"/>
        </w:rPr>
        <w:t>Figure 1. Capture screen for micro-segment 2482 at the plan number</w:t>
      </w:r>
    </w:p>
    <w:p>
      <w:pPr>
        <w:spacing w:after="120"/>
      </w:pPr>
      <w:r>
        <w:rPr>
          <w:b/>
          <w:i w:val="0"/>
        </w:rPr>
        <w:t>Left column.</w:t>
      </w:r>
      <w:r>
        <w:rPr>
          <w:b w:val="0"/>
          <w:i w:val="0"/>
        </w:rPr>
        <w:t xml:space="preserve"> The micro-segment list puts the rep's own segments first with their plan volume and volume share; other reps' segments are view-only. Below it, the rep's own track record (claims right, bias, actuals inside range) is always visible.</w:t>
      </w:r>
    </w:p>
    <w:p>
      <w:pPr>
        <w:spacing w:after="120"/>
      </w:pPr>
      <w:r>
        <w:rPr>
          <w:b/>
          <w:i w:val="0"/>
        </w:rPr>
        <w:t>Segment header.</w:t>
      </w:r>
      <w:r>
        <w:rPr>
          <w:b w:val="0"/>
          <w:i w:val="0"/>
        </w:rPr>
        <w:t xml:space="preserve"> Label, full hierarchy description and the rep comment from the plan (for 2482: "Syngenta leader of the red BP. 40% MS of the whole market and 80% of this microsegment...").</w:t>
      </w:r>
    </w:p>
    <w:p>
      <w:pPr>
        <w:spacing w:after="120"/>
      </w:pPr>
      <w:r>
        <w:rPr>
          <w:b/>
          <w:i w:val="0"/>
        </w:rPr>
        <w:t>Month grid.</w:t>
      </w:r>
      <w:r>
        <w:rPr>
          <w:b w:val="0"/>
          <w:i w:val="0"/>
        </w:rPr>
        <w:t xml:space="preserve"> Twelve columns with four rows: Plan (synthetic monthly split), Last year, Actual (only for closed months) and Demand (latest submitted entry, or the live draft for the selected month). Closed months are greyed and cannot be selected; the selected open month is highlighted.</w:t>
      </w:r>
    </w:p>
    <w:p>
      <w:pPr>
        <w:spacing w:after="120"/>
      </w:pPr>
      <w:r>
        <w:rPr>
          <w:b/>
          <w:i w:val="0"/>
        </w:rPr>
        <w:t>Entry panel.</w:t>
      </w:r>
      <w:r>
        <w:rPr>
          <w:b w:val="0"/>
          <w:i w:val="0"/>
        </w:rPr>
        <w:t xml:space="preserve"> The demand number in thousand seeds (KS), a two-slider confidence range (low and high percentages, default -8% / +8%) and an optional net price in EUR/KS (defaults to the plan net price).</w:t>
      </w:r>
    </w:p>
    <w:p>
      <w:pPr>
        <w:spacing w:after="120"/>
      </w:pPr>
      <w:r>
        <w:rPr>
          <w:b/>
          <w:i w:val="0"/>
        </w:rPr>
        <w:t>Live tiles</w:t>
      </w:r>
      <w:r>
        <w:rPr>
          <w:b w:val="0"/>
          <w:i w:val="0"/>
        </w:rPr>
        <w:t xml:space="preserve"> (recomputed on every keystroke, no server call):</w:t>
      </w:r>
    </w:p>
    <w:p>
      <w:pPr>
        <w:pStyle w:val="ListBullet"/>
        <w:spacing w:after="40"/>
      </w:pPr>
      <w:r>
        <w:rPr>
          <w:b/>
          <w:i w:val="0"/>
        </w:rPr>
        <w:t>Market share</w:t>
      </w:r>
      <w:r>
        <w:rPr>
          <w:b w:val="0"/>
          <w:i w:val="0"/>
        </w:rPr>
        <w:t>: full-year volume share with low-high range, change vs plan and vs last year, value share, Blocky PGH mega-segment value share and the three competitors that lose most when Syngenta gains.</w:t>
      </w:r>
    </w:p>
    <w:p>
      <w:pPr>
        <w:pStyle w:val="ListBullet"/>
        <w:spacing w:after="40"/>
      </w:pPr>
      <w:r>
        <w:rPr>
          <w:b/>
          <w:i w:val="0"/>
        </w:rPr>
        <w:t>Year to go</w:t>
      </w:r>
      <w:r>
        <w:rPr>
          <w:b w:val="0"/>
          <w:i w:val="0"/>
        </w:rPr>
        <w:t>: gap to plan (green above, red below), full-year estimate, plan, actuals to date, and the monthly run rate needed vs entered vs last year for the open months.</w:t>
      </w:r>
    </w:p>
    <w:p>
      <w:pPr>
        <w:pStyle w:val="ListBullet"/>
        <w:spacing w:after="40"/>
      </w:pPr>
      <w:r>
        <w:rPr>
          <w:b/>
          <w:i w:val="0"/>
        </w:rPr>
        <w:t>Implied hectares</w:t>
      </w:r>
      <w:r>
        <w:rPr>
          <w:b w:val="0"/>
          <w:i w:val="0"/>
        </w:rPr>
        <w:t>: full-year volume divided by plant density, a bar against the planted hectares of the segment, and the range.</w:t>
      </w:r>
    </w:p>
    <w:p>
      <w:pPr>
        <w:pStyle w:val="ListBullet"/>
        <w:spacing w:after="40"/>
      </w:pPr>
      <w:r>
        <w:rPr>
          <w:b/>
          <w:i w:val="0"/>
        </w:rPr>
        <w:t>Plausibility</w:t>
      </w:r>
      <w:r>
        <w:rPr>
          <w:b w:val="0"/>
          <w:i w:val="0"/>
        </w:rPr>
        <w:t>: 'No flags' or each flag as a plain-language message; any flag switches the justification to required.</w:t>
      </w:r>
    </w:p>
    <w:p>
      <w:pPr>
        <w:pStyle w:val="ListBullet"/>
        <w:spacing w:after="40"/>
      </w:pPr>
      <w:r>
        <w:rPr>
          <w:b/>
          <w:i w:val="0"/>
        </w:rPr>
        <w:t>Where the revenue change comes from</w:t>
      </w:r>
      <w:r>
        <w:rPr>
          <w:b w:val="0"/>
          <w:i w:val="0"/>
        </w:rPr>
        <w:t>: volume effect and price effect vs last year as signed bars, with average price now vs last year.</w:t>
      </w:r>
    </w:p>
    <w:p>
      <w:pPr>
        <w:jc w:val="center"/>
      </w:pPr>
      <w:r>
        <w:drawing>
          <wp:inline xmlns:a="http://schemas.openxmlformats.org/drawingml/2006/main" xmlns:pic="http://schemas.openxmlformats.org/drawingml/2006/picture">
            <wp:extent cx="6120000" cy="5172250"/>
            <wp:docPr id="2" name="Picture 2"/>
            <wp:cNvGraphicFramePr>
              <a:graphicFrameLocks noChangeAspect="1"/>
            </wp:cNvGraphicFramePr>
            <a:graphic>
              <a:graphicData uri="http://schemas.openxmlformats.org/drawingml/2006/picture">
                <pic:pic>
                  <pic:nvPicPr>
                    <pic:cNvPr id="0" name="02-flags.png"/>
                    <pic:cNvPicPr/>
                  </pic:nvPicPr>
                  <pic:blipFill>
                    <a:blip r:embed="rId11"/>
                    <a:stretch>
                      <a:fillRect/>
                    </a:stretch>
                  </pic:blipFill>
                  <pic:spPr>
                    <a:xfrm>
                      <a:off x="0" y="0"/>
                      <a:ext cx="6120000" cy="5172250"/>
                    </a:xfrm>
                    <a:prstGeom prst="rect"/>
                  </pic:spPr>
                </pic:pic>
              </a:graphicData>
            </a:graphic>
          </wp:inline>
        </w:drawing>
      </w:r>
    </w:p>
    <w:p>
      <w:pPr>
        <w:jc w:val="center"/>
      </w:pPr>
      <w:r>
        <w:rPr>
          <w:i/>
          <w:sz w:val="18"/>
        </w:rPr>
        <w:t>Figure 2. Typing 40,000 KS: share above 100%, hectares above the market and a month outlier fire; submit is blocked until a justification exists</w:t>
      </w:r>
    </w:p>
    <w:p>
      <w:pPr>
        <w:spacing w:after="120"/>
      </w:pPr>
      <w:r>
        <w:rPr>
          <w:b/>
          <w:i w:val="0"/>
        </w:rPr>
        <w:t>Justification.</w:t>
      </w:r>
      <w:r>
        <w:rPr>
          <w:b w:val="0"/>
          <w:i w:val="0"/>
        </w:rPr>
        <w:t xml:space="preserve"> The rep writes one sentence and clicks </w:t>
      </w:r>
      <w:r>
        <w:rPr>
          <w:b/>
          <w:i w:val="0"/>
        </w:rPr>
        <w:t>Structure with Jev</w:t>
      </w:r>
      <w:r>
        <w:rPr>
          <w:b w:val="0"/>
          <w:i w:val="0"/>
        </w:rPr>
        <w:t>. The claim summary and ten decision cards appear, each with its probability bar. Warnings appear when a field is low-confidence or when Jev judges that the sentence does not explain the flags. If the numbers change after structuring, the result is marked stale and re-run on submit.</w:t>
      </w:r>
    </w:p>
    <w:p>
      <w:pPr>
        <w:jc w:val="center"/>
      </w:pPr>
      <w:r>
        <w:drawing>
          <wp:inline xmlns:a="http://schemas.openxmlformats.org/drawingml/2006/main" xmlns:pic="http://schemas.openxmlformats.org/drawingml/2006/picture">
            <wp:extent cx="6120000" cy="6107250"/>
            <wp:docPr id="3" name="Picture 3"/>
            <wp:cNvGraphicFramePr>
              <a:graphicFrameLocks noChangeAspect="1"/>
            </wp:cNvGraphicFramePr>
            <a:graphic>
              <a:graphicData uri="http://schemas.openxmlformats.org/drawingml/2006/picture">
                <pic:pic>
                  <pic:nvPicPr>
                    <pic:cNvPr id="0" name="03-structured-claim.png"/>
                    <pic:cNvPicPr/>
                  </pic:nvPicPr>
                  <pic:blipFill>
                    <a:blip r:embed="rId12"/>
                    <a:stretch>
                      <a:fillRect/>
                    </a:stretch>
                  </pic:blipFill>
                  <pic:spPr>
                    <a:xfrm>
                      <a:off x="0" y="0"/>
                      <a:ext cx="6120000" cy="6107250"/>
                    </a:xfrm>
                    <a:prstGeom prst="rect"/>
                  </pic:spPr>
                </pic:pic>
              </a:graphicData>
            </a:graphic>
          </wp:inline>
        </w:drawing>
      </w:r>
    </w:p>
    <w:p>
      <w:pPr>
        <w:jc w:val="center"/>
      </w:pPr>
      <w:r>
        <w:rPr>
          <w:i/>
          <w:sz w:val="18"/>
        </w:rPr>
        <w:t>Figure 3. 14,500 KS with a justification structured by Jev; the price-carrying warning remains visible</w:t>
      </w:r>
    </w:p>
    <w:p>
      <w:pPr>
        <w:spacing w:after="120"/>
      </w:pPr>
      <w:r>
        <w:rPr>
          <w:b/>
          <w:i w:val="0"/>
        </w:rPr>
        <w:t>Submit.</w:t>
      </w:r>
      <w:r>
        <w:rPr>
          <w:b w:val="0"/>
          <w:i w:val="0"/>
        </w:rPr>
        <w:t xml:space="preserve"> The server recomputes the math, stores the entry with its impact snapshot, flags and claim, supersedes the previous entry for the same segment and month, and shows a confirmation toast naming the month the claim will be checked against. Gemini rewrites the claim summary in the background.</w:t>
      </w:r>
    </w:p>
    <w:p>
      <w:pPr>
        <w:pStyle w:val="Heading2"/>
      </w:pPr>
      <w:r>
        <w:t>5.2 Consensus (consensus lead)</w:t>
      </w:r>
    </w:p>
    <w:p>
      <w:pPr>
        <w:jc w:val="center"/>
      </w:pPr>
      <w:r>
        <w:drawing>
          <wp:inline xmlns:a="http://schemas.openxmlformats.org/drawingml/2006/main" xmlns:pic="http://schemas.openxmlformats.org/drawingml/2006/picture">
            <wp:extent cx="6120000" cy="4989500"/>
            <wp:docPr id="4" name="Picture 4"/>
            <wp:cNvGraphicFramePr>
              <a:graphicFrameLocks noChangeAspect="1"/>
            </wp:cNvGraphicFramePr>
            <a:graphic>
              <a:graphicData uri="http://schemas.openxmlformats.org/drawingml/2006/picture">
                <pic:pic>
                  <pic:nvPicPr>
                    <pic:cNvPr id="0" name="prod-04-consensus.png"/>
                    <pic:cNvPicPr/>
                  </pic:nvPicPr>
                  <pic:blipFill>
                    <a:blip r:embed="rId13"/>
                    <a:stretch>
                      <a:fillRect/>
                    </a:stretch>
                  </pic:blipFill>
                  <pic:spPr>
                    <a:xfrm>
                      <a:off x="0" y="0"/>
                      <a:ext cx="6120000" cy="4989500"/>
                    </a:xfrm>
                    <a:prstGeom prst="rect"/>
                  </pic:spPr>
                </pic:pic>
              </a:graphicData>
            </a:graphic>
          </wp:inline>
        </w:drawing>
      </w:r>
    </w:p>
    <w:p>
      <w:pPr>
        <w:jc w:val="center"/>
      </w:pPr>
      <w:r>
        <w:rPr>
          <w:i/>
          <w:sz w:val="18"/>
        </w:rPr>
        <w:t>Figure 4. Exceptions-only queue with Jev triage and a Gemini-drafted reasons-to-believe (production)</w:t>
      </w:r>
    </w:p>
    <w:p>
      <w:pPr>
        <w:pStyle w:val="ListBullet"/>
        <w:spacing w:after="40"/>
      </w:pPr>
      <w:r>
        <w:rPr>
          <w:b/>
          <w:i w:val="0"/>
        </w:rPr>
        <w:t>Exceptions</w:t>
      </w:r>
      <w:r>
        <w:rPr>
          <w:b w:val="0"/>
          <w:i w:val="0"/>
        </w:rPr>
        <w:t xml:space="preserve"> list every open entry that has at least one reason: a flag message, a rep with a weak track record (claim hit rate &lt; 60% or |bias| &gt; 10%), a vague justification (specificity &lt; 1.5 of 3) or one that does not explain its flags (Jev &lt; 0.5), or an earlier Discuss/Challenge status.</w:t>
      </w:r>
    </w:p>
    <w:p>
      <w:pPr>
        <w:pStyle w:val="ListBullet"/>
        <w:spacing w:after="40"/>
      </w:pPr>
      <w:r>
        <w:rPr>
          <w:b w:val="0"/>
          <w:i w:val="0"/>
        </w:rPr>
        <w:t xml:space="preserve">Each exception shows the full entry card, a 'Why this is on the agenda' box and </w:t>
      </w:r>
      <w:r>
        <w:rPr>
          <w:b/>
          <w:i w:val="0"/>
        </w:rPr>
        <w:t>Jev suggests</w:t>
      </w:r>
      <w:r>
        <w:rPr>
          <w:b w:val="0"/>
          <w:i w:val="0"/>
        </w:rPr>
        <w:t xml:space="preserve"> approve / discuss / challenge with a confidence bar, plus Approve / Discuss / Challenge buttons.</w:t>
      </w:r>
    </w:p>
    <w:p>
      <w:pPr>
        <w:pStyle w:val="ListBullet"/>
        <w:spacing w:after="40"/>
      </w:pPr>
      <w:r>
        <w:rPr>
          <w:b/>
          <w:i w:val="0"/>
        </w:rPr>
        <w:t>Routine entries</w:t>
      </w:r>
      <w:r>
        <w:rPr>
          <w:b w:val="0"/>
          <w:i w:val="0"/>
        </w:rPr>
        <w:t xml:space="preserve"> (no reasons) are listed on the right with one </w:t>
      </w:r>
      <w:r>
        <w:rPr>
          <w:b/>
          <w:i w:val="0"/>
        </w:rPr>
        <w:t>Bulk approve routine</w:t>
      </w:r>
      <w:r>
        <w:rPr>
          <w:b w:val="0"/>
          <w:i w:val="0"/>
        </w:rPr>
        <w:t xml:space="preserve"> button.</w:t>
      </w:r>
    </w:p>
    <w:p>
      <w:pPr>
        <w:pStyle w:val="ListBullet"/>
        <w:spacing w:after="40"/>
      </w:pPr>
      <w:r>
        <w:rPr>
          <w:b/>
          <w:i w:val="0"/>
        </w:rPr>
        <w:t>Reasons to believe</w:t>
      </w:r>
      <w:r>
        <w:rPr>
          <w:b w:val="0"/>
          <w:i w:val="0"/>
        </w:rPr>
        <w:t>: pick a segment and click Draft RTB. Gemini writes the narrative from confirmed claims, market facts, competitor trends and the market-dynamics note; without Gemini a structured template is used. The number of cited claims is shown.</w:t>
      </w:r>
    </w:p>
    <w:p>
      <w:pPr>
        <w:pStyle w:val="ListBullet"/>
        <w:spacing w:after="40"/>
      </w:pPr>
      <w:r>
        <w:rPr>
          <w:b/>
          <w:i w:val="0"/>
        </w:rPr>
        <w:t>Supply handoff</w:t>
      </w:r>
      <w:r>
        <w:rPr>
          <w:b w:val="0"/>
          <w:i w:val="0"/>
        </w:rPr>
        <w:t>: Export supply range CSV downloads approved lines with low / mid / high, build_to (low for wide ranges or weak reps, otherwise mid), build_ks, rep and reason.</w:t>
      </w:r>
    </w:p>
    <w:p>
      <w:pPr>
        <w:pStyle w:val="Heading2"/>
      </w:pPr>
      <w:r>
        <w:t>5.3 Advance month</w:t>
      </w:r>
    </w:p>
    <w:p>
      <w:pPr>
        <w:spacing w:after="120"/>
      </w:pPr>
      <w:r>
        <w:rPr>
          <w:b w:val="0"/>
          <w:i w:val="0"/>
        </w:rPr>
        <w:t>The header button closes the current month: the synthetic actuals for that month become visible, every pending claim due that month is resolved (numeric check plus Jev yes/no verdict), track records are recomputed, the clock moves forward, and a toast summarises confirmed / contradicted / inconclusive claims. Reset restores the seed (clock back to September 2026, 38 historical entries).</w:t>
      </w:r>
    </w:p>
    <w:p>
      <w:pPr>
        <w:pStyle w:val="Heading2"/>
      </w:pPr>
      <w:r>
        <w:t>5.4 Ledger</w:t>
      </w:r>
    </w:p>
    <w:p>
      <w:pPr>
        <w:jc w:val="center"/>
      </w:pPr>
      <w:r>
        <w:drawing>
          <wp:inline xmlns:a="http://schemas.openxmlformats.org/drawingml/2006/main" xmlns:pic="http://schemas.openxmlformats.org/drawingml/2006/picture">
            <wp:extent cx="6120000" cy="4887500"/>
            <wp:docPr id="5" name="Picture 5"/>
            <wp:cNvGraphicFramePr>
              <a:graphicFrameLocks noChangeAspect="1"/>
            </wp:cNvGraphicFramePr>
            <a:graphic>
              <a:graphicData uri="http://schemas.openxmlformats.org/drawingml/2006/picture">
                <pic:pic>
                  <pic:nvPicPr>
                    <pic:cNvPr id="0" name="ledger-top.png"/>
                    <pic:cNvPicPr/>
                  </pic:nvPicPr>
                  <pic:blipFill>
                    <a:blip r:embed="rId14"/>
                    <a:stretch>
                      <a:fillRect/>
                    </a:stretch>
                  </pic:blipFill>
                  <pic:spPr>
                    <a:xfrm>
                      <a:off x="0" y="0"/>
                      <a:ext cx="6120000" cy="4887500"/>
                    </a:xfrm>
                    <a:prstGeom prst="rect"/>
                  </pic:spPr>
                </pic:pic>
              </a:graphicData>
            </a:graphic>
          </wp:inline>
        </w:drawing>
      </w:r>
    </w:p>
    <w:p>
      <w:pPr>
        <w:jc w:val="center"/>
      </w:pPr>
      <w:r>
        <w:rPr>
          <w:i/>
          <w:sz w:val="18"/>
        </w:rPr>
        <w:t>Figure 5. Ledger: every entry with impact snapshot, flags, claim tags and resolution against actuals</w:t>
      </w:r>
    </w:p>
    <w:p>
      <w:pPr>
        <w:spacing w:after="120"/>
      </w:pPr>
      <w:r>
        <w:rPr>
          <w:b w:val="0"/>
          <w:i w:val="0"/>
        </w:rPr>
        <w:t>A newest-first timeline filterable by segment and rep. Each card shows value and range, full-year estimate and share at the time of entry, the justification, the claim summary, flag badges, compact claim tags, and either 'Will be checked against &lt;month&gt; &lt;signal&gt;' or 'Resolved against actuals: X vs plan Y, inside/outside range, evidence supports the claim with p% probability (provider)'. History entries are labelled.</w:t>
      </w:r>
    </w:p>
    <w:p>
      <w:pPr>
        <w:pStyle w:val="Heading2"/>
      </w:pPr>
      <w:r>
        <w:t>5.5 Track record</w:t>
      </w:r>
    </w:p>
    <w:p>
      <w:pPr>
        <w:jc w:val="center"/>
      </w:pPr>
      <w:r>
        <w:drawing>
          <wp:inline xmlns:a="http://schemas.openxmlformats.org/drawingml/2006/main" xmlns:pic="http://schemas.openxmlformats.org/drawingml/2006/picture">
            <wp:extent cx="6120000" cy="5410250"/>
            <wp:docPr id="6" name="Picture 6"/>
            <wp:cNvGraphicFramePr>
              <a:graphicFrameLocks noChangeAspect="1"/>
            </wp:cNvGraphicFramePr>
            <a:graphic>
              <a:graphicData uri="http://schemas.openxmlformats.org/drawingml/2006/picture">
                <pic:pic>
                  <pic:nvPicPr>
                    <pic:cNvPr id="0" name="06-track-record.png"/>
                    <pic:cNvPicPr/>
                  </pic:nvPicPr>
                  <pic:blipFill>
                    <a:blip r:embed="rId15"/>
                    <a:stretch>
                      <a:fillRect/>
                    </a:stretch>
                  </pic:blipFill>
                  <pic:spPr>
                    <a:xfrm>
                      <a:off x="0" y="0"/>
                      <a:ext cx="6120000" cy="5410250"/>
                    </a:xfrm>
                    <a:prstGeom prst="rect"/>
                  </pic:spPr>
                </pic:pic>
              </a:graphicData>
            </a:graphic>
          </wp:inline>
        </w:drawing>
      </w:r>
    </w:p>
    <w:p>
      <w:pPr>
        <w:jc w:val="center"/>
      </w:pPr>
      <w:r>
        <w:rPr>
          <w:i/>
          <w:sz w:val="18"/>
        </w:rPr>
        <w:t>Figure 6. Track record per rep with the latest resolved claims</w:t>
      </w:r>
    </w:p>
    <w:p>
      <w:pPr>
        <w:spacing w:after="120"/>
      </w:pPr>
      <w:r>
        <w:rPr>
          <w:b w:val="0"/>
          <w:i w:val="0"/>
        </w:rPr>
        <w:t>Per rep: claims confirmed (hit rate), bias (average of (entry - actual) / actual), actual inside range (coverage), confirmed/contradicted counts, a Reliable or Weak badge, and the latest resolved claims. Seeded history: Rep A 83% hit rate, +1% bias, 89% coverage (reliable); Rep B 40%, +13%, 10% (weak).</w:t>
      </w:r>
    </w:p>
    <w:p>
      <w:pPr>
        <w:pStyle w:val="Heading2"/>
      </w:pPr>
      <w:r>
        <w:t>5.6 Data quality</w:t>
      </w:r>
    </w:p>
    <w:p>
      <w:pPr>
        <w:jc w:val="center"/>
      </w:pPr>
      <w:r>
        <w:drawing>
          <wp:inline xmlns:a="http://schemas.openxmlformats.org/drawingml/2006/main" xmlns:pic="http://schemas.openxmlformats.org/drawingml/2006/picture">
            <wp:extent cx="6120000" cy="4611250"/>
            <wp:docPr id="7" name="Picture 7"/>
            <wp:cNvGraphicFramePr>
              <a:graphicFrameLocks noChangeAspect="1"/>
            </wp:cNvGraphicFramePr>
            <a:graphic>
              <a:graphicData uri="http://schemas.openxmlformats.org/drawingml/2006/picture">
                <pic:pic>
                  <pic:nvPicPr>
                    <pic:cNvPr id="0" name="07-data-quality.png"/>
                    <pic:cNvPicPr/>
                  </pic:nvPicPr>
                  <pic:blipFill>
                    <a:blip r:embed="rId16"/>
                    <a:stretch>
                      <a:fillRect/>
                    </a:stretch>
                  </pic:blipFill>
                  <pic:spPr>
                    <a:xfrm>
                      <a:off x="0" y="0"/>
                      <a:ext cx="6120000" cy="4611250"/>
                    </a:xfrm>
                    <a:prstGeom prst="rect"/>
                  </pic:spPr>
                </pic:pic>
              </a:graphicData>
            </a:graphic>
          </wp:inline>
        </w:drawing>
      </w:r>
    </w:p>
    <w:p>
      <w:pPr>
        <w:jc w:val="center"/>
      </w:pPr>
      <w:r>
        <w:rPr>
          <w:i/>
          <w:sz w:val="18"/>
        </w:rPr>
        <w:t>Figure 7. Data quality report produced by the ingest</w:t>
      </w:r>
    </w:p>
    <w:p>
      <w:pPr>
        <w:spacing w:after="120"/>
      </w:pPr>
      <w:r>
        <w:rPr>
          <w:b w:val="0"/>
          <w:i w:val="0"/>
        </w:rPr>
        <w:t>One card per source (sales, market, competitors, grower, hierarchy, geo) plus scope, anonymization and synthetic layers, listing what the ingest found and fixed. Section 12 details every figure.</w:t>
      </w:r>
    </w:p>
    <w:p>
      <w:r>
        <w:br w:type="page"/>
      </w:r>
    </w:p>
    <w:p>
      <w:pPr>
        <w:pStyle w:val="Heading1"/>
      </w:pPr>
      <w:r>
        <w:t>6. End-to-end flow</w:t>
      </w:r>
    </w:p>
    <w:p>
      <w:pPr>
        <w:jc w:val="center"/>
      </w:pPr>
      <w:r>
        <w:drawing>
          <wp:inline xmlns:a="http://schemas.openxmlformats.org/drawingml/2006/main" xmlns:pic="http://schemas.openxmlformats.org/drawingml/2006/picture">
            <wp:extent cx="5940000" cy="5127313"/>
            <wp:docPr id="8" name="Picture 8"/>
            <wp:cNvGraphicFramePr>
              <a:graphicFrameLocks noChangeAspect="1"/>
            </wp:cNvGraphicFramePr>
            <a:graphic>
              <a:graphicData uri="http://schemas.openxmlformats.org/drawingml/2006/picture">
                <pic:pic>
                  <pic:nvPicPr>
                    <pic:cNvPr id="0" name="user_flow.png"/>
                    <pic:cNvPicPr/>
                  </pic:nvPicPr>
                  <pic:blipFill>
                    <a:blip r:embed="rId17"/>
                    <a:stretch>
                      <a:fillRect/>
                    </a:stretch>
                  </pic:blipFill>
                  <pic:spPr>
                    <a:xfrm>
                      <a:off x="0" y="0"/>
                      <a:ext cx="5940000" cy="5127313"/>
                    </a:xfrm>
                    <a:prstGeom prst="rect"/>
                  </pic:spPr>
                </pic:pic>
              </a:graphicData>
            </a:graphic>
          </wp:inline>
        </w:drawing>
      </w:r>
    </w:p>
    <w:p>
      <w:pPr>
        <w:jc w:val="center"/>
      </w:pPr>
      <w:r>
        <w:rPr>
          <w:i/>
          <w:sz w:val="18"/>
        </w:rPr>
        <w:t>Figure 8. User flow across rep, application/AI and consensus lead</w:t>
      </w:r>
    </w:p>
    <w:p>
      <w:pPr>
        <w:pStyle w:val="Heading2"/>
      </w:pPr>
      <w:r>
        <w:t>6.1 Step-by-step</w:t>
      </w:r>
    </w:p>
    <w:p>
      <w:pPr>
        <w:pStyle w:val="ListNumber"/>
        <w:spacing w:after="40"/>
      </w:pPr>
      <w:r>
        <w:rPr>
          <w:b w:val="0"/>
          <w:i w:val="0"/>
        </w:rPr>
        <w:t>Rep selects an owned micro-segment and an open month (the demo clock marks earlier months as closed).</w:t>
      </w:r>
    </w:p>
    <w:p>
      <w:pPr>
        <w:pStyle w:val="ListNumber"/>
        <w:spacing w:after="40"/>
      </w:pPr>
      <w:r>
        <w:rPr>
          <w:b w:val="0"/>
          <w:i w:val="0"/>
        </w:rPr>
        <w:t>Rep types the demand in KS, adjusts the low/high range and optionally a net price.</w:t>
      </w:r>
    </w:p>
    <w:p>
      <w:pPr>
        <w:pStyle w:val="ListNumber"/>
        <w:spacing w:after="40"/>
      </w:pPr>
      <w:r>
        <w:rPr>
          <w:b w:val="0"/>
          <w:i w:val="0"/>
        </w:rPr>
        <w:t>The browser recalculates share, competitor split, year-to-go, implied hectares, the revenue split and all flags on each keystroke.</w:t>
      </w:r>
    </w:p>
    <w:p>
      <w:pPr>
        <w:pStyle w:val="ListNumber"/>
        <w:spacing w:after="40"/>
      </w:pPr>
      <w:r>
        <w:rPr>
          <w:b w:val="0"/>
          <w:i w:val="0"/>
        </w:rPr>
        <w:t>If any flag fires, the justification becomes mandatory; otherwise it is optional but recommended.</w:t>
      </w:r>
    </w:p>
    <w:p>
      <w:pPr>
        <w:pStyle w:val="ListNumber"/>
        <w:spacing w:after="40"/>
      </w:pPr>
      <w:r>
        <w:rPr>
          <w:b w:val="0"/>
          <w:i w:val="0"/>
        </w:rPr>
        <w:t>Rep writes one sentence and structures it: the backend sends one fan-out call to Jev with 9-10 typed questions; Gemini is consulted only for Choice answers under 0.8 confidence.</w:t>
      </w:r>
    </w:p>
    <w:p>
      <w:pPr>
        <w:pStyle w:val="ListNumber"/>
        <w:spacing w:after="40"/>
      </w:pPr>
      <w:r>
        <w:rPr>
          <w:b w:val="0"/>
          <w:i w:val="0"/>
        </w:rPr>
        <w:t>Rep reviews the tags and probabilities, refines the sentence if needed, and submits.</w:t>
      </w:r>
    </w:p>
    <w:p>
      <w:pPr>
        <w:pStyle w:val="ListNumber"/>
        <w:spacing w:after="40"/>
      </w:pPr>
      <w:r>
        <w:rPr>
          <w:b w:val="0"/>
          <w:i w:val="0"/>
        </w:rPr>
        <w:t>The server re-validates ownership, month, range and justification, recomputes the math, stores entry + impact + flags + claim, supersedes the previous entry, and schedules a Gemini summary rewrite.</w:t>
      </w:r>
    </w:p>
    <w:p>
      <w:pPr>
        <w:pStyle w:val="ListNumber"/>
        <w:spacing w:after="40"/>
      </w:pPr>
      <w:r>
        <w:rPr>
          <w:b w:val="0"/>
          <w:i w:val="0"/>
        </w:rPr>
        <w:t>The consensus lead sees exceptions with reasons and a Jev triage suggestion and decides; routine lines are bulk-approved.</w:t>
      </w:r>
    </w:p>
    <w:p>
      <w:pPr>
        <w:pStyle w:val="ListNumber"/>
        <w:spacing w:after="40"/>
      </w:pPr>
      <w:r>
        <w:rPr>
          <w:b w:val="0"/>
          <w:i w:val="0"/>
        </w:rPr>
        <w:t>The lead drafts the reasons-to-believe (Gemini) and exports the supply range CSV.</w:t>
      </w:r>
    </w:p>
    <w:p>
      <w:pPr>
        <w:pStyle w:val="ListNumber"/>
        <w:spacing w:after="40"/>
      </w:pPr>
      <w:r>
        <w:rPr>
          <w:b w:val="0"/>
          <w:i w:val="0"/>
        </w:rPr>
        <w:t>Advance month reveals actuals and resolves due claims (numeric check + Jev verdict).</w:t>
      </w:r>
    </w:p>
    <w:p>
      <w:pPr>
        <w:pStyle w:val="ListNumber"/>
        <w:spacing w:after="40"/>
      </w:pPr>
      <w:r>
        <w:rPr>
          <w:b w:val="0"/>
          <w:i w:val="0"/>
        </w:rPr>
        <w:t>Track records are recomputed.</w:t>
      </w:r>
    </w:p>
    <w:p>
      <w:pPr>
        <w:pStyle w:val="ListNumber"/>
        <w:spacing w:after="40"/>
      </w:pPr>
      <w:r>
        <w:rPr>
          <w:b w:val="0"/>
          <w:i w:val="0"/>
        </w:rPr>
        <w:t>The rep's track record is shown next to the next entry, and weak records route future entries to consensus.</w:t>
      </w:r>
    </w:p>
    <w:p>
      <w:pPr>
        <w:pStyle w:val="Heading2"/>
      </w:pPr>
      <w:r>
        <w:t>6.2 Demo script (about 6 minutes)</w:t>
      </w:r>
    </w:p>
    <w:p>
      <w:pPr>
        <w:pStyle w:val="ListNumber"/>
        <w:spacing w:after="40"/>
      </w:pPr>
      <w:r>
        <w:rPr>
          <w:b w:val="0"/>
          <w:i w:val="0"/>
        </w:rPr>
        <w:t>Capture as Rep A, segment 2482 (Autumn late Red), September: baseline tiles at the plan number.</w:t>
      </w:r>
    </w:p>
    <w:p>
      <w:pPr>
        <w:pStyle w:val="ListNumber"/>
        <w:spacing w:after="40"/>
      </w:pPr>
      <w:r>
        <w:rPr>
          <w:b w:val="0"/>
          <w:i w:val="0"/>
        </w:rPr>
        <w:t>Type 40000: share above 100%, hectares above the 3,316 ha market, month outlier; submit disabled.</w:t>
      </w:r>
    </w:p>
    <w:p>
      <w:pPr>
        <w:pStyle w:val="ListNumber"/>
        <w:spacing w:after="40"/>
      </w:pPr>
      <w:r>
        <w:rPr>
          <w:b w:val="0"/>
          <w:i w:val="0"/>
        </w:rPr>
        <w:t>Type 14500 and write 'Two Almeria cooperatives are switching from Sur Seeds to Leontes because of T. parvispinus tolerance.' Structure with Jev and show the probabilities. The price-carrying warning stays - volume is below last year and price holds revenue up.</w:t>
      </w:r>
    </w:p>
    <w:p>
      <w:pPr>
        <w:pStyle w:val="ListNumber"/>
        <w:spacing w:after="40"/>
      </w:pPr>
      <w:r>
        <w:rPr>
          <w:b w:val="0"/>
          <w:i w:val="0"/>
        </w:rPr>
        <w:t>Submit; submit a clean line (2484 at plan); switch to Rep B and submit 2432 for October with a vague sentence.</w:t>
      </w:r>
    </w:p>
    <w:p>
      <w:pPr>
        <w:pStyle w:val="ListNumber"/>
        <w:spacing w:after="40"/>
      </w:pPr>
      <w:r>
        <w:rPr>
          <w:b w:val="0"/>
          <w:i w:val="0"/>
        </w:rPr>
        <w:t>Switch to the Consensus lead: only two exceptions (2482 price carrying; 2432 weak rep + vague). Bulk-approve 2484, approve the rest, Draft RTB for 2482, export the CSV.</w:t>
      </w:r>
    </w:p>
    <w:p>
      <w:pPr>
        <w:pStyle w:val="ListNumber"/>
        <w:spacing w:after="40"/>
      </w:pPr>
      <w:r>
        <w:rPr>
          <w:b w:val="0"/>
          <w:i w:val="0"/>
        </w:rPr>
        <w:t>Advance month: September claims resolve; Ledger shows 'Resolved against actuals'; Track record updates.</w:t>
      </w:r>
    </w:p>
    <w:p>
      <w:pPr>
        <w:pStyle w:val="ListNumber"/>
        <w:spacing w:after="40"/>
      </w:pPr>
      <w:r>
        <w:rPr>
          <w:b w:val="0"/>
          <w:i w:val="0"/>
        </w:rPr>
        <w:t>Finish on Data quality to show the ingest rigour.</w:t>
      </w:r>
    </w:p>
    <w:p>
      <w:r>
        <w:br w:type="page"/>
      </w:r>
    </w:p>
    <w:p>
      <w:pPr>
        <w:pStyle w:val="Heading1"/>
      </w:pPr>
      <w:r>
        <w:t>7. Architecture</w:t>
      </w:r>
    </w:p>
    <w:p>
      <w:pPr>
        <w:jc w:val="center"/>
      </w:pPr>
      <w:r>
        <w:drawing>
          <wp:inline xmlns:a="http://schemas.openxmlformats.org/drawingml/2006/main" xmlns:pic="http://schemas.openxmlformats.org/drawingml/2006/picture">
            <wp:extent cx="6120000" cy="4022857"/>
            <wp:docPr id="9" name="Picture 9"/>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120000" cy="4022857"/>
                    </a:xfrm>
                    <a:prstGeom prst="rect"/>
                  </pic:spPr>
                </pic:pic>
              </a:graphicData>
            </a:graphic>
          </wp:inline>
        </w:drawing>
      </w:r>
    </w:p>
    <w:p>
      <w:pPr>
        <w:jc w:val="center"/>
      </w:pPr>
      <w:r>
        <w:rPr>
          <w:i/>
          <w:sz w:val="18"/>
        </w:rPr>
        <w:t>Figure 9. System architecture</w:t>
      </w:r>
    </w:p>
    <w:p>
      <w:pPr>
        <w:pStyle w:val="Heading2"/>
      </w:pPr>
      <w:r>
        <w:t>7.1 Components</w:t>
      </w:r>
    </w:p>
    <w:p>
      <w:pPr>
        <w:spacing w:after="40"/>
      </w:pPr>
      <w:r>
        <w:rPr>
          <w:b/>
          <w:sz w:val="18"/>
        </w:rPr>
        <w:t>Table 6. Components</w:t>
      </w:r>
    </w:p>
    <w:tbl>
      <w:tblPr>
        <w:tblStyle w:val="LightGrid-Accent1"/>
        <w:tblW w:type="auto" w:w="0"/>
        <w:jc w:val="center"/>
        <w:tblLook w:firstColumn="1" w:firstRow="1" w:lastColumn="0" w:lastRow="0" w:noHBand="0" w:noVBand="1" w:val="04A0"/>
      </w:tblPr>
      <w:tblGrid>
        <w:gridCol w:w="3213"/>
        <w:gridCol w:w="3213"/>
        <w:gridCol w:w="3213"/>
      </w:tblGrid>
      <w:tr>
        <w:tc>
          <w:tcPr>
            <w:tcW w:type="dxa" w:w="1361"/>
          </w:tcPr>
          <w:p>
            <w:r/>
            <w:r>
              <w:rPr>
                <w:b/>
                <w:sz w:val="17"/>
              </w:rPr>
              <w:t>Layer</w:t>
            </w:r>
          </w:p>
        </w:tc>
        <w:tc>
          <w:tcPr>
            <w:tcW w:type="dxa" w:w="2948"/>
          </w:tcPr>
          <w:p>
            <w:r/>
            <w:r>
              <w:rPr>
                <w:b/>
                <w:sz w:val="17"/>
              </w:rPr>
              <w:t>Technology</w:t>
            </w:r>
          </w:p>
        </w:tc>
        <w:tc>
          <w:tcPr>
            <w:tcW w:type="dxa" w:w="5329"/>
          </w:tcPr>
          <w:p>
            <w:r/>
            <w:r>
              <w:rPr>
                <w:b/>
                <w:sz w:val="17"/>
              </w:rPr>
              <w:t>Responsibility</w:t>
            </w:r>
          </w:p>
        </w:tc>
      </w:tr>
      <w:tr>
        <w:tc>
          <w:tcPr>
            <w:tcW w:type="dxa" w:w="1361"/>
          </w:tcPr>
          <w:p>
            <w:r/>
            <w:r>
              <w:rPr>
                <w:b w:val="0"/>
                <w:i w:val="0"/>
                <w:sz w:val="17"/>
              </w:rPr>
              <w:t>Ingest</w:t>
            </w:r>
          </w:p>
        </w:tc>
        <w:tc>
          <w:tcPr>
            <w:tcW w:type="dxa" w:w="2948"/>
          </w:tcPr>
          <w:p>
            <w:r/>
            <w:r>
              <w:rPr>
                <w:b w:val="0"/>
                <w:i w:val="0"/>
                <w:sz w:val="17"/>
              </w:rPr>
              <w:t>Python, pandas (scripts/ingest)</w:t>
            </w:r>
          </w:p>
        </w:tc>
        <w:tc>
          <w:tcPr>
            <w:tcW w:type="dxa" w:w="5329"/>
          </w:tcPr>
          <w:p>
            <w:r/>
            <w:r>
              <w:rPr>
                <w:b w:val="0"/>
                <w:i w:val="0"/>
                <w:sz w:val="17"/>
              </w:rPr>
              <w:t>Read the six workbooks, clean, join on IDs, anonymize, synthesize monthly data and rep history, write data/seed/*.json and ingest_report.json.</w:t>
            </w:r>
          </w:p>
        </w:tc>
      </w:tr>
      <w:tr>
        <w:tc>
          <w:tcPr>
            <w:tcW w:type="dxa" w:w="1361"/>
          </w:tcPr>
          <w:p>
            <w:r/>
            <w:r>
              <w:rPr>
                <w:b w:val="0"/>
                <w:i w:val="0"/>
                <w:sz w:val="17"/>
              </w:rPr>
              <w:t>Frontend</w:t>
            </w:r>
          </w:p>
        </w:tc>
        <w:tc>
          <w:tcPr>
            <w:tcW w:type="dxa" w:w="2948"/>
          </w:tcPr>
          <w:p>
            <w:r/>
            <w:r>
              <w:rPr>
                <w:b w:val="0"/>
                <w:i w:val="0"/>
                <w:sz w:val="17"/>
              </w:rPr>
              <w:t>React 19, Vite 8, TypeScript, TanStack Query, Tailwind v4, lucide icons</w:t>
            </w:r>
          </w:p>
        </w:tc>
        <w:tc>
          <w:tcPr>
            <w:tcW w:type="dxa" w:w="5329"/>
          </w:tcPr>
          <w:p>
            <w:r/>
            <w:r>
              <w:rPr>
                <w:b w:val="0"/>
                <w:i w:val="0"/>
                <w:sz w:val="17"/>
              </w:rPr>
              <w:t>Screens, role switcher, demo controls; demandMath.ts and flags.ts compute impacts per keystroke.</w:t>
            </w:r>
          </w:p>
        </w:tc>
      </w:tr>
      <w:tr>
        <w:tc>
          <w:tcPr>
            <w:tcW w:type="dxa" w:w="1361"/>
          </w:tcPr>
          <w:p>
            <w:r/>
            <w:r>
              <w:rPr>
                <w:b w:val="0"/>
                <w:i w:val="0"/>
                <w:sz w:val="17"/>
              </w:rPr>
              <w:t>API</w:t>
            </w:r>
          </w:p>
        </w:tc>
        <w:tc>
          <w:tcPr>
            <w:tcW w:type="dxa" w:w="2948"/>
          </w:tcPr>
          <w:p>
            <w:r/>
            <w:r>
              <w:rPr>
                <w:b w:val="0"/>
                <w:i w:val="0"/>
                <w:sz w:val="17"/>
              </w:rPr>
              <w:t>FastAPI, Pydantic (camelCase DTOs), uvicorn</w:t>
            </w:r>
          </w:p>
        </w:tc>
        <w:tc>
          <w:tcPr>
            <w:tcW w:type="dxa" w:w="5329"/>
          </w:tcPr>
          <w:p>
            <w:r/>
            <w:r>
              <w:rPr>
                <w:b w:val="0"/>
                <w:i w:val="0"/>
                <w:sz w:val="17"/>
              </w:rPr>
              <w:t>Thin routers; services hold logic; same math re-run server-side on submit.</w:t>
            </w:r>
          </w:p>
        </w:tc>
      </w:tr>
      <w:tr>
        <w:tc>
          <w:tcPr>
            <w:tcW w:type="dxa" w:w="1361"/>
          </w:tcPr>
          <w:p>
            <w:r/>
            <w:r>
              <w:rPr>
                <w:b w:val="0"/>
                <w:i w:val="0"/>
                <w:sz w:val="17"/>
              </w:rPr>
              <w:t>Persistence</w:t>
            </w:r>
          </w:p>
        </w:tc>
        <w:tc>
          <w:tcPr>
            <w:tcW w:type="dxa" w:w="2948"/>
          </w:tcPr>
          <w:p>
            <w:r/>
            <w:r>
              <w:rPr>
                <w:b w:val="0"/>
                <w:i w:val="0"/>
                <w:sz w:val="17"/>
              </w:rPr>
              <w:t>SQLAlchemy 2 async, Alembic, SQLite (demo) / Postgres (docker-compose)</w:t>
            </w:r>
          </w:p>
        </w:tc>
        <w:tc>
          <w:tcPr>
            <w:tcW w:type="dxa" w:w="5329"/>
          </w:tcPr>
          <w:p>
            <w:r/>
            <w:r>
              <w:rPr>
                <w:b w:val="0"/>
                <w:i w:val="0"/>
                <w:sz w:val="17"/>
              </w:rPr>
              <w:t>Reference tables, entries, claims, track records, demo clock.</w:t>
            </w:r>
          </w:p>
        </w:tc>
      </w:tr>
      <w:tr>
        <w:tc>
          <w:tcPr>
            <w:tcW w:type="dxa" w:w="1361"/>
          </w:tcPr>
          <w:p>
            <w:r/>
            <w:r>
              <w:rPr>
                <w:b w:val="0"/>
                <w:i w:val="0"/>
                <w:sz w:val="17"/>
              </w:rPr>
              <w:t>AI</w:t>
            </w:r>
          </w:p>
        </w:tc>
        <w:tc>
          <w:tcPr>
            <w:tcW w:type="dxa" w:w="2948"/>
          </w:tcPr>
          <w:p>
            <w:r/>
            <w:r>
              <w:rPr>
                <w:b w:val="0"/>
                <w:i w:val="0"/>
                <w:sz w:val="17"/>
              </w:rPr>
              <w:t>DecisionProvider; httpx Jev client; google-genai Vertex client</w:t>
            </w:r>
          </w:p>
        </w:tc>
        <w:tc>
          <w:tcPr>
            <w:tcW w:type="dxa" w:w="5329"/>
          </w:tcPr>
          <w:p>
            <w:r/>
            <w:r>
              <w:rPr>
                <w:b w:val="0"/>
                <w:i w:val="0"/>
                <w:sz w:val="17"/>
              </w:rPr>
              <w:t>Jev for typed decisions; Gemini for prose and low-confidence fallback; fixtures and offline decider for resilience.</w:t>
            </w:r>
          </w:p>
        </w:tc>
      </w:tr>
      <w:tr>
        <w:tc>
          <w:tcPr>
            <w:tcW w:type="dxa" w:w="1361"/>
          </w:tcPr>
          <w:p>
            <w:r/>
            <w:r>
              <w:rPr>
                <w:b w:val="0"/>
                <w:i w:val="0"/>
                <w:sz w:val="17"/>
              </w:rPr>
              <w:t>Hosting</w:t>
            </w:r>
          </w:p>
        </w:tc>
        <w:tc>
          <w:tcPr>
            <w:tcW w:type="dxa" w:w="2948"/>
          </w:tcPr>
          <w:p>
            <w:r/>
            <w:r>
              <w:rPr>
                <w:b w:val="0"/>
                <w:i w:val="0"/>
                <w:sz w:val="17"/>
              </w:rPr>
              <w:t>Cloud Run (API + bundled SPA), Firebase Hosting (SPA + /api rewrite)</w:t>
            </w:r>
          </w:p>
        </w:tc>
        <w:tc>
          <w:tcPr>
            <w:tcW w:type="dxa" w:w="5329"/>
          </w:tcPr>
          <w:p>
            <w:r/>
            <w:r>
              <w:rPr>
                <w:b w:val="0"/>
                <w:i w:val="0"/>
                <w:sz w:val="17"/>
              </w:rPr>
              <w:t>Single service, max one instance; SQLite reseeded on cold start.</w:t>
            </w:r>
          </w:p>
        </w:tc>
      </w:tr>
      <w:tr>
        <w:tc>
          <w:tcPr>
            <w:tcW w:type="dxa" w:w="1361"/>
          </w:tcPr>
          <w:p>
            <w:r/>
            <w:r>
              <w:rPr>
                <w:b w:val="0"/>
                <w:i w:val="0"/>
                <w:sz w:val="17"/>
              </w:rPr>
              <w:t>Secrets / IAM</w:t>
            </w:r>
          </w:p>
        </w:tc>
        <w:tc>
          <w:tcPr>
            <w:tcW w:type="dxa" w:w="2948"/>
          </w:tcPr>
          <w:p>
            <w:r/>
            <w:r>
              <w:rPr>
                <w:b w:val="0"/>
                <w:i w:val="0"/>
                <w:sz w:val="17"/>
              </w:rPr>
              <w:t>Secret Manager, service account skystream-api</w:t>
            </w:r>
          </w:p>
        </w:tc>
        <w:tc>
          <w:tcPr>
            <w:tcW w:type="dxa" w:w="5329"/>
          </w:tcPr>
          <w:p>
            <w:r/>
            <w:r>
              <w:rPr>
                <w:b w:val="0"/>
                <w:i w:val="0"/>
                <w:sz w:val="17"/>
              </w:rPr>
              <w:t>JEV_API_KEY from secret jev-api-key; roles/aiplatform.user for Vertex.</w:t>
            </w:r>
          </w:p>
        </w:tc>
      </w:tr>
    </w:tbl>
    <w:p>
      <w:pPr>
        <w:spacing w:after="40"/>
      </w:pPr>
    </w:p>
    <w:p>
      <w:pPr>
        <w:pStyle w:val="Heading2"/>
      </w:pPr>
      <w:r>
        <w:t>7.2 Why the math runs twice</w:t>
      </w:r>
    </w:p>
    <w:p>
      <w:pPr>
        <w:spacing w:after="120"/>
      </w:pPr>
      <w:r>
        <w:rPr>
          <w:b w:val="0"/>
          <w:i w:val="0"/>
        </w:rPr>
        <w:t>The live requirement ('no next-day lag') puts the calculations in the browser, which is instant but client-controlled. The server therefore recomputes the identical formulas on submit and stores its own impact snapshot and flags. Both implementations are pinned to the same golden cases (tests/fixtures/demand_math_cases.json, 7 cases) so they cannot drift.</w:t>
      </w:r>
    </w:p>
    <w:p>
      <w:pPr>
        <w:pStyle w:val="Heading2"/>
      </w:pPr>
      <w:r>
        <w:t>7.3 Performance</w:t>
      </w:r>
    </w:p>
    <w:p>
      <w:pPr>
        <w:spacing w:after="40"/>
      </w:pPr>
      <w:r>
        <w:rPr>
          <w:b/>
          <w:sz w:val="18"/>
        </w:rPr>
        <w:t>Table 7. Latency (production, Cloud Run us-central1)</w:t>
      </w:r>
    </w:p>
    <w:tbl>
      <w:tblPr>
        <w:tblStyle w:val="LightGrid-Accent1"/>
        <w:tblW w:type="auto" w:w="0"/>
        <w:jc w:val="center"/>
        <w:tblLook w:firstColumn="1" w:firstRow="1" w:lastColumn="0" w:lastRow="0" w:noHBand="0" w:noVBand="1" w:val="04A0"/>
      </w:tblPr>
      <w:tblGrid>
        <w:gridCol w:w="4819"/>
        <w:gridCol w:w="4819"/>
      </w:tblGrid>
      <w:tr>
        <w:tc>
          <w:tcPr>
            <w:tcW w:type="dxa" w:w="5102"/>
          </w:tcPr>
          <w:p>
            <w:r/>
            <w:r>
              <w:rPr>
                <w:b/>
                <w:sz w:val="17"/>
              </w:rPr>
              <w:t>Operation</w:t>
            </w:r>
          </w:p>
        </w:tc>
        <w:tc>
          <w:tcPr>
            <w:tcW w:type="dxa" w:w="4535"/>
          </w:tcPr>
          <w:p>
            <w:r/>
            <w:r>
              <w:rPr>
                <w:b/>
                <w:sz w:val="17"/>
              </w:rPr>
              <w:t>Measured</w:t>
            </w:r>
          </w:p>
        </w:tc>
      </w:tr>
      <w:tr>
        <w:tc>
          <w:tcPr>
            <w:tcW w:type="dxa" w:w="5102"/>
          </w:tcPr>
          <w:p>
            <w:r/>
            <w:r>
              <w:rPr>
                <w:b w:val="0"/>
                <w:i w:val="0"/>
                <w:sz w:val="17"/>
              </w:rPr>
              <w:t>Keystroke to tile update</w:t>
            </w:r>
          </w:p>
        </w:tc>
        <w:tc>
          <w:tcPr>
            <w:tcW w:type="dxa" w:w="4535"/>
          </w:tcPr>
          <w:p>
            <w:r/>
            <w:r>
              <w:rPr>
                <w:b w:val="0"/>
                <w:i w:val="0"/>
                <w:sz w:val="17"/>
              </w:rPr>
              <w:t>&lt; 1 ms of math; UI render within one frame</w:t>
            </w:r>
          </w:p>
        </w:tc>
      </w:tr>
      <w:tr>
        <w:tc>
          <w:tcPr>
            <w:tcW w:type="dxa" w:w="5102"/>
          </w:tcPr>
          <w:p>
            <w:r/>
            <w:r>
              <w:rPr>
                <w:b w:val="0"/>
                <w:i w:val="0"/>
                <w:sz w:val="17"/>
              </w:rPr>
              <w:t>GET /api/segments/cube (all 9 segments)</w:t>
            </w:r>
          </w:p>
        </w:tc>
        <w:tc>
          <w:tcPr>
            <w:tcW w:type="dxa" w:w="4535"/>
          </w:tcPr>
          <w:p>
            <w:r/>
            <w:r>
              <w:rPr>
                <w:b w:val="0"/>
                <w:i w:val="0"/>
                <w:sz w:val="17"/>
              </w:rPr>
              <w:t>~0.13 s</w:t>
            </w:r>
          </w:p>
        </w:tc>
      </w:tr>
      <w:tr>
        <w:tc>
          <w:tcPr>
            <w:tcW w:type="dxa" w:w="5102"/>
          </w:tcPr>
          <w:p>
            <w:r/>
            <w:r>
              <w:rPr>
                <w:b w:val="0"/>
                <w:i w:val="0"/>
                <w:sz w:val="17"/>
              </w:rPr>
              <w:t>Structure justification, Jev confident</w:t>
            </w:r>
          </w:p>
        </w:tc>
        <w:tc>
          <w:tcPr>
            <w:tcW w:type="dxa" w:w="4535"/>
          </w:tcPr>
          <w:p>
            <w:r/>
            <w:r>
              <w:rPr>
                <w:b w:val="0"/>
                <w:i w:val="0"/>
                <w:sz w:val="17"/>
              </w:rPr>
              <w:t>~0.26-0.3 s (one fan-out call)</w:t>
            </w:r>
          </w:p>
        </w:tc>
      </w:tr>
      <w:tr>
        <w:tc>
          <w:tcPr>
            <w:tcW w:type="dxa" w:w="5102"/>
          </w:tcPr>
          <w:p>
            <w:r/>
            <w:r>
              <w:rPr>
                <w:b w:val="0"/>
                <w:i w:val="0"/>
                <w:sz w:val="17"/>
              </w:rPr>
              <w:t>Structure justification, Gemini fallback used</w:t>
            </w:r>
          </w:p>
        </w:tc>
        <w:tc>
          <w:tcPr>
            <w:tcW w:type="dxa" w:w="4535"/>
          </w:tcPr>
          <w:p>
            <w:r/>
            <w:r>
              <w:rPr>
                <w:b w:val="0"/>
                <w:i w:val="0"/>
                <w:sz w:val="17"/>
              </w:rPr>
              <w:t>~1.3 s (capped at 5 s)</w:t>
            </w:r>
          </w:p>
        </w:tc>
      </w:tr>
      <w:tr>
        <w:tc>
          <w:tcPr>
            <w:tcW w:type="dxa" w:w="5102"/>
          </w:tcPr>
          <w:p>
            <w:r/>
            <w:r>
              <w:rPr>
                <w:b w:val="0"/>
                <w:i w:val="0"/>
                <w:sz w:val="17"/>
              </w:rPr>
              <w:t>Repeat of the same justification</w:t>
            </w:r>
          </w:p>
        </w:tc>
        <w:tc>
          <w:tcPr>
            <w:tcW w:type="dxa" w:w="4535"/>
          </w:tcPr>
          <w:p>
            <w:r/>
            <w:r>
              <w:rPr>
                <w:b w:val="0"/>
                <w:i w:val="0"/>
                <w:sz w:val="17"/>
              </w:rPr>
              <w:t>~0.14 s (cached)</w:t>
            </w:r>
          </w:p>
        </w:tc>
      </w:tr>
      <w:tr>
        <w:tc>
          <w:tcPr>
            <w:tcW w:type="dxa" w:w="5102"/>
          </w:tcPr>
          <w:p>
            <w:r/>
            <w:r>
              <w:rPr>
                <w:b w:val="0"/>
                <w:i w:val="0"/>
                <w:sz w:val="17"/>
              </w:rPr>
              <w:t>First request after scale-to-zero</w:t>
            </w:r>
          </w:p>
        </w:tc>
        <w:tc>
          <w:tcPr>
            <w:tcW w:type="dxa" w:w="4535"/>
          </w:tcPr>
          <w:p>
            <w:r/>
            <w:r>
              <w:rPr>
                <w:b w:val="0"/>
                <w:i w:val="0"/>
                <w:sz w:val="17"/>
              </w:rPr>
              <w:t>~9-13 s (container start + seeding)</w:t>
            </w:r>
          </w:p>
        </w:tc>
      </w:tr>
      <w:tr>
        <w:tc>
          <w:tcPr>
            <w:tcW w:type="dxa" w:w="5102"/>
          </w:tcPr>
          <w:p>
            <w:r/>
            <w:r>
              <w:rPr>
                <w:b w:val="0"/>
                <w:i w:val="0"/>
                <w:sz w:val="17"/>
              </w:rPr>
              <w:t>Gemini RTB draft</w:t>
            </w:r>
          </w:p>
        </w:tc>
        <w:tc>
          <w:tcPr>
            <w:tcW w:type="dxa" w:w="4535"/>
          </w:tcPr>
          <w:p>
            <w:r/>
            <w:r>
              <w:rPr>
                <w:b w:val="0"/>
                <w:i w:val="0"/>
                <w:sz w:val="17"/>
              </w:rPr>
              <w:t>several seconds (user-initiated, shows 'Drafting...')</w:t>
            </w:r>
          </w:p>
        </w:tc>
      </w:tr>
    </w:tbl>
    <w:p>
      <w:pPr>
        <w:spacing w:after="40"/>
      </w:pPr>
    </w:p>
    <w:p>
      <w:pPr>
        <w:pStyle w:val="Heading1"/>
      </w:pPr>
      <w:r>
        <w:t>8. Calculations</w:t>
      </w:r>
    </w:p>
    <w:p>
      <w:pPr>
        <w:spacing w:after="120"/>
      </w:pPr>
      <w:r>
        <w:rPr>
          <w:b w:val="0"/>
          <w:i w:val="0"/>
        </w:rPr>
        <w:t>Notation: Y = current year (2026), m = entered month, clock = first open month, open months = clock..12, plan_m = synthetic monthly plan, actual_m = synthetic actual (revealed only for m &lt; clock).</w:t>
      </w:r>
    </w:p>
    <w:p>
      <w:pPr>
        <w:spacing w:after="40"/>
      </w:pPr>
      <w:r>
        <w:rPr>
          <w:b/>
          <w:sz w:val="18"/>
        </w:rPr>
        <w:t>Table 8. Formulas (identical in demand_math.py and demandMath.ts)</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6"/>
              </w:rPr>
              <w:t>Output</w:t>
            </w:r>
          </w:p>
        </w:tc>
        <w:tc>
          <w:tcPr>
            <w:tcW w:type="dxa" w:w="4762"/>
          </w:tcPr>
          <w:p>
            <w:r/>
            <w:r>
              <w:rPr>
                <w:b/>
                <w:sz w:val="16"/>
              </w:rPr>
              <w:t>Formula</w:t>
            </w:r>
          </w:p>
        </w:tc>
        <w:tc>
          <w:tcPr>
            <w:tcW w:type="dxa" w:w="2835"/>
          </w:tcPr>
          <w:p>
            <w:r/>
            <w:r>
              <w:rPr>
                <w:b/>
                <w:sz w:val="16"/>
              </w:rPr>
              <w:t>Source elements</w:t>
            </w:r>
          </w:p>
        </w:tc>
      </w:tr>
      <w:tr>
        <w:tc>
          <w:tcPr>
            <w:tcW w:type="dxa" w:w="2041"/>
          </w:tcPr>
          <w:p>
            <w:r/>
            <w:r>
              <w:rPr>
                <w:b w:val="0"/>
                <w:i w:val="0"/>
                <w:sz w:val="16"/>
              </w:rPr>
              <w:t>Actuals to date</w:t>
            </w:r>
          </w:p>
        </w:tc>
        <w:tc>
          <w:tcPr>
            <w:tcW w:type="dxa" w:w="4762"/>
          </w:tcPr>
          <w:p>
            <w:r/>
            <w:r>
              <w:rPr>
                <w:b w:val="0"/>
                <w:i w:val="0"/>
                <w:sz w:val="16"/>
              </w:rPr>
              <w:t>sum(actual_m) for m &lt; clock</w:t>
            </w:r>
          </w:p>
        </w:tc>
        <w:tc>
          <w:tcPr>
            <w:tcW w:type="dxa" w:w="2835"/>
          </w:tcPr>
          <w:p>
            <w:r/>
            <w:r>
              <w:rPr>
                <w:b w:val="0"/>
                <w:i w:val="0"/>
                <w:sz w:val="16"/>
              </w:rPr>
              <w:t>monthly_actuals (from Sales Qty)</w:t>
            </w:r>
          </w:p>
        </w:tc>
      </w:tr>
      <w:tr>
        <w:tc>
          <w:tcPr>
            <w:tcW w:type="dxa" w:w="2041"/>
          </w:tcPr>
          <w:p>
            <w:r/>
            <w:r>
              <w:rPr>
                <w:b w:val="0"/>
                <w:i w:val="0"/>
                <w:sz w:val="16"/>
              </w:rPr>
              <w:t>Other open months</w:t>
            </w:r>
          </w:p>
        </w:tc>
        <w:tc>
          <w:tcPr>
            <w:tcW w:type="dxa" w:w="4762"/>
          </w:tcPr>
          <w:p>
            <w:r/>
            <w:r>
              <w:rPr>
                <w:b w:val="0"/>
                <w:i w:val="0"/>
                <w:sz w:val="16"/>
              </w:rPr>
              <w:t>sum over open months != m of (latest submitted entry, else plan_m)</w:t>
            </w:r>
          </w:p>
        </w:tc>
        <w:tc>
          <w:tcPr>
            <w:tcW w:type="dxa" w:w="2835"/>
          </w:tcPr>
          <w:p>
            <w:r/>
            <w:r>
              <w:rPr>
                <w:b w:val="0"/>
                <w:i w:val="0"/>
                <w:sz w:val="16"/>
              </w:rPr>
              <w:t>demand_entries, monthly_plan</w:t>
            </w:r>
          </w:p>
        </w:tc>
      </w:tr>
      <w:tr>
        <w:tc>
          <w:tcPr>
            <w:tcW w:type="dxa" w:w="2041"/>
          </w:tcPr>
          <w:p>
            <w:r/>
            <w:r>
              <w:rPr>
                <w:b w:val="0"/>
                <w:i w:val="0"/>
                <w:sz w:val="16"/>
              </w:rPr>
              <w:t>Full-year estimate (FY)</w:t>
            </w:r>
          </w:p>
        </w:tc>
        <w:tc>
          <w:tcPr>
            <w:tcW w:type="dxa" w:w="4762"/>
          </w:tcPr>
          <w:p>
            <w:r/>
            <w:r>
              <w:rPr>
                <w:b w:val="0"/>
                <w:i w:val="0"/>
                <w:sz w:val="16"/>
              </w:rPr>
              <w:t>actuals to date + entered value + other open months</w:t>
            </w:r>
          </w:p>
        </w:tc>
        <w:tc>
          <w:tcPr>
            <w:tcW w:type="dxa" w:w="2835"/>
          </w:tcPr>
          <w:p>
            <w:r/>
            <w:r>
              <w:rPr>
                <w:b w:val="0"/>
                <w:i w:val="0"/>
                <w:sz w:val="16"/>
              </w:rPr>
              <w:t>-</w:t>
            </w:r>
          </w:p>
        </w:tc>
      </w:tr>
      <w:tr>
        <w:tc>
          <w:tcPr>
            <w:tcW w:type="dxa" w:w="2041"/>
          </w:tcPr>
          <w:p>
            <w:r/>
            <w:r>
              <w:rPr>
                <w:b w:val="0"/>
                <w:i w:val="0"/>
                <w:sz w:val="16"/>
              </w:rPr>
              <w:t>FY low / high</w:t>
            </w:r>
          </w:p>
        </w:tc>
        <w:tc>
          <w:tcPr>
            <w:tcW w:type="dxa" w:w="4762"/>
          </w:tcPr>
          <w:p>
            <w:r/>
            <w:r>
              <w:rPr>
                <w:b w:val="0"/>
                <w:i w:val="0"/>
                <w:sz w:val="16"/>
              </w:rPr>
              <w:t>same with entry low / high</w:t>
            </w:r>
          </w:p>
        </w:tc>
        <w:tc>
          <w:tcPr>
            <w:tcW w:type="dxa" w:w="2835"/>
          </w:tcPr>
          <w:p>
            <w:r/>
            <w:r>
              <w:rPr>
                <w:b w:val="0"/>
                <w:i w:val="0"/>
                <w:sz w:val="16"/>
              </w:rPr>
              <w:t>rep range</w:t>
            </w:r>
          </w:p>
        </w:tc>
      </w:tr>
      <w:tr>
        <w:tc>
          <w:tcPr>
            <w:tcW w:type="dxa" w:w="2041"/>
          </w:tcPr>
          <w:p>
            <w:r/>
            <w:r>
              <w:rPr>
                <w:b w:val="0"/>
                <w:i w:val="0"/>
                <w:sz w:val="16"/>
              </w:rPr>
              <w:t>Gap to plan</w:t>
            </w:r>
          </w:p>
        </w:tc>
        <w:tc>
          <w:tcPr>
            <w:tcW w:type="dxa" w:w="4762"/>
          </w:tcPr>
          <w:p>
            <w:r/>
            <w:r>
              <w:rPr>
                <w:b w:val="0"/>
                <w:i w:val="0"/>
                <w:sz w:val="16"/>
              </w:rPr>
              <w:t>FY - plan FY (Sales Qty, year Y)</w:t>
            </w:r>
          </w:p>
        </w:tc>
        <w:tc>
          <w:tcPr>
            <w:tcW w:type="dxa" w:w="2835"/>
          </w:tcPr>
          <w:p>
            <w:r/>
            <w:r>
              <w:rPr>
                <w:b w:val="0"/>
                <w:i w:val="0"/>
                <w:sz w:val="16"/>
              </w:rPr>
              <w:t>plan_years.qty_ks</w:t>
            </w:r>
          </w:p>
        </w:tc>
      </w:tr>
      <w:tr>
        <w:tc>
          <w:tcPr>
            <w:tcW w:type="dxa" w:w="2041"/>
          </w:tcPr>
          <w:p>
            <w:r/>
            <w:r>
              <w:rPr>
                <w:b w:val="0"/>
                <w:i w:val="0"/>
                <w:sz w:val="16"/>
              </w:rPr>
              <w:t>Year-to-go remaining</w:t>
            </w:r>
          </w:p>
        </w:tc>
        <w:tc>
          <w:tcPr>
            <w:tcW w:type="dxa" w:w="4762"/>
          </w:tcPr>
          <w:p>
            <w:r/>
            <w:r>
              <w:rPr>
                <w:b w:val="0"/>
                <w:i w:val="0"/>
                <w:sz w:val="16"/>
              </w:rPr>
              <w:t>plan FY - actuals to date</w:t>
            </w:r>
          </w:p>
        </w:tc>
        <w:tc>
          <w:tcPr>
            <w:tcW w:type="dxa" w:w="2835"/>
          </w:tcPr>
          <w:p>
            <w:r/>
            <w:r>
              <w:rPr>
                <w:b w:val="0"/>
                <w:i w:val="0"/>
                <w:sz w:val="16"/>
              </w:rPr>
              <w:t>-</w:t>
            </w:r>
          </w:p>
        </w:tc>
      </w:tr>
      <w:tr>
        <w:tc>
          <w:tcPr>
            <w:tcW w:type="dxa" w:w="2041"/>
          </w:tcPr>
          <w:p>
            <w:r/>
            <w:r>
              <w:rPr>
                <w:b w:val="0"/>
                <w:i w:val="0"/>
                <w:sz w:val="16"/>
              </w:rPr>
              <w:t>Needed monthly rate</w:t>
            </w:r>
          </w:p>
        </w:tc>
        <w:tc>
          <w:tcPr>
            <w:tcW w:type="dxa" w:w="4762"/>
          </w:tcPr>
          <w:p>
            <w:r/>
            <w:r>
              <w:rPr>
                <w:b w:val="0"/>
                <w:i w:val="0"/>
                <w:sz w:val="16"/>
              </w:rPr>
              <w:t>max(0, YTG remaining) / months remaining</w:t>
            </w:r>
          </w:p>
        </w:tc>
        <w:tc>
          <w:tcPr>
            <w:tcW w:type="dxa" w:w="2835"/>
          </w:tcPr>
          <w:p>
            <w:r/>
            <w:r>
              <w:rPr>
                <w:b w:val="0"/>
                <w:i w:val="0"/>
                <w:sz w:val="16"/>
              </w:rPr>
              <w:t>-</w:t>
            </w:r>
          </w:p>
        </w:tc>
      </w:tr>
      <w:tr>
        <w:tc>
          <w:tcPr>
            <w:tcW w:type="dxa" w:w="2041"/>
          </w:tcPr>
          <w:p>
            <w:r/>
            <w:r>
              <w:rPr>
                <w:b w:val="0"/>
                <w:i w:val="0"/>
                <w:sz w:val="16"/>
              </w:rPr>
              <w:t>Entered monthly rate</w:t>
            </w:r>
          </w:p>
        </w:tc>
        <w:tc>
          <w:tcPr>
            <w:tcW w:type="dxa" w:w="4762"/>
          </w:tcPr>
          <w:p>
            <w:r/>
            <w:r>
              <w:rPr>
                <w:b w:val="0"/>
                <w:i w:val="0"/>
                <w:sz w:val="16"/>
              </w:rPr>
              <w:t>(FY - actuals to date) / months remaining</w:t>
            </w:r>
          </w:p>
        </w:tc>
        <w:tc>
          <w:tcPr>
            <w:tcW w:type="dxa" w:w="2835"/>
          </w:tcPr>
          <w:p>
            <w:r/>
            <w:r>
              <w:rPr>
                <w:b w:val="0"/>
                <w:i w:val="0"/>
                <w:sz w:val="16"/>
              </w:rPr>
              <w:t>-</w:t>
            </w:r>
          </w:p>
        </w:tc>
      </w:tr>
      <w:tr>
        <w:tc>
          <w:tcPr>
            <w:tcW w:type="dxa" w:w="2041"/>
          </w:tcPr>
          <w:p>
            <w:r/>
            <w:r>
              <w:rPr>
                <w:b w:val="0"/>
                <w:i w:val="0"/>
                <w:sz w:val="16"/>
              </w:rPr>
              <w:t>Last-year monthly rate</w:t>
            </w:r>
          </w:p>
        </w:tc>
        <w:tc>
          <w:tcPr>
            <w:tcW w:type="dxa" w:w="4762"/>
          </w:tcPr>
          <w:p>
            <w:r/>
            <w:r>
              <w:rPr>
                <w:b w:val="0"/>
                <w:i w:val="0"/>
                <w:sz w:val="16"/>
              </w:rPr>
              <w:t>sum(last-year actual over open months) / months remaining</w:t>
            </w:r>
          </w:p>
        </w:tc>
        <w:tc>
          <w:tcPr>
            <w:tcW w:type="dxa" w:w="2835"/>
          </w:tcPr>
          <w:p>
            <w:r/>
            <w:r>
              <w:rPr>
                <w:b w:val="0"/>
                <w:i w:val="0"/>
                <w:sz w:val="16"/>
              </w:rPr>
              <w:t>monthly_actuals 2025</w:t>
            </w:r>
          </w:p>
        </w:tc>
      </w:tr>
      <w:tr>
        <w:tc>
          <w:tcPr>
            <w:tcW w:type="dxa" w:w="2041"/>
          </w:tcPr>
          <w:p>
            <w:r/>
            <w:r>
              <w:rPr>
                <w:b w:val="0"/>
                <w:i w:val="0"/>
                <w:sz w:val="16"/>
              </w:rPr>
              <w:t>Volume share</w:t>
            </w:r>
          </w:p>
        </w:tc>
        <w:tc>
          <w:tcPr>
            <w:tcW w:type="dxa" w:w="4762"/>
          </w:tcPr>
          <w:p>
            <w:r/>
            <w:r>
              <w:rPr>
                <w:b w:val="0"/>
                <w:i w:val="0"/>
                <w:sz w:val="16"/>
              </w:rPr>
              <w:t>FY / Market Qty (KS)</w:t>
            </w:r>
          </w:p>
        </w:tc>
        <w:tc>
          <w:tcPr>
            <w:tcW w:type="dxa" w:w="2835"/>
          </w:tcPr>
          <w:p>
            <w:r/>
            <w:r>
              <w:rPr>
                <w:b w:val="0"/>
                <w:i w:val="0"/>
                <w:sz w:val="16"/>
              </w:rPr>
              <w:t>market_years.qty_ks</w:t>
            </w:r>
          </w:p>
        </w:tc>
      </w:tr>
      <w:tr>
        <w:tc>
          <w:tcPr>
            <w:tcW w:type="dxa" w:w="2041"/>
          </w:tcPr>
          <w:p>
            <w:r/>
            <w:r>
              <w:rPr>
                <w:b w:val="0"/>
                <w:i w:val="0"/>
                <w:sz w:val="16"/>
              </w:rPr>
              <w:t>Plan / last-year share</w:t>
            </w:r>
          </w:p>
        </w:tc>
        <w:tc>
          <w:tcPr>
            <w:tcW w:type="dxa" w:w="4762"/>
          </w:tcPr>
          <w:p>
            <w:r/>
            <w:r>
              <w:rPr>
                <w:b w:val="0"/>
                <w:i w:val="0"/>
                <w:sz w:val="16"/>
              </w:rPr>
              <w:t>plan FY / market KS; last-year qty / last-year market KS</w:t>
            </w:r>
          </w:p>
        </w:tc>
        <w:tc>
          <w:tcPr>
            <w:tcW w:type="dxa" w:w="2835"/>
          </w:tcPr>
          <w:p>
            <w:r/>
            <w:r>
              <w:rPr>
                <w:b w:val="0"/>
                <w:i w:val="0"/>
                <w:sz w:val="16"/>
              </w:rPr>
              <w:t>plan_years, market_years</w:t>
            </w:r>
          </w:p>
        </w:tc>
      </w:tr>
      <w:tr>
        <w:tc>
          <w:tcPr>
            <w:tcW w:type="dxa" w:w="2041"/>
          </w:tcPr>
          <w:p>
            <w:r/>
            <w:r>
              <w:rPr>
                <w:b w:val="0"/>
                <w:i w:val="0"/>
                <w:sz w:val="16"/>
              </w:rPr>
              <w:t>Historical max share</w:t>
            </w:r>
          </w:p>
        </w:tc>
        <w:tc>
          <w:tcPr>
            <w:tcW w:type="dxa" w:w="4762"/>
          </w:tcPr>
          <w:p>
            <w:r/>
            <w:r>
              <w:rPr>
                <w:b w:val="0"/>
                <w:i w:val="0"/>
                <w:sz w:val="16"/>
              </w:rPr>
              <w:t>max over 2024..Y of Syngenta qty / market qty</w:t>
            </w:r>
          </w:p>
        </w:tc>
        <w:tc>
          <w:tcPr>
            <w:tcW w:type="dxa" w:w="2835"/>
          </w:tcPr>
          <w:p>
            <w:r/>
            <w:r>
              <w:rPr>
                <w:b w:val="0"/>
                <w:i w:val="0"/>
                <w:sz w:val="16"/>
              </w:rPr>
              <w:t>plan_years, market_years</w:t>
            </w:r>
          </w:p>
        </w:tc>
      </w:tr>
      <w:tr>
        <w:tc>
          <w:tcPr>
            <w:tcW w:type="dxa" w:w="2041"/>
          </w:tcPr>
          <w:p>
            <w:r/>
            <w:r>
              <w:rPr>
                <w:b w:val="0"/>
                <w:i w:val="0"/>
                <w:sz w:val="16"/>
              </w:rPr>
              <w:t>FY value</w:t>
            </w:r>
          </w:p>
        </w:tc>
        <w:tc>
          <w:tcPr>
            <w:tcW w:type="dxa" w:w="4762"/>
          </w:tcPr>
          <w:p>
            <w:r/>
            <w:r>
              <w:rPr>
                <w:b w:val="0"/>
                <w:i w:val="0"/>
                <w:sz w:val="16"/>
              </w:rPr>
              <w:t>actual value to date + value x price + other open x plan net price</w:t>
            </w:r>
          </w:p>
        </w:tc>
        <w:tc>
          <w:tcPr>
            <w:tcW w:type="dxa" w:w="2835"/>
          </w:tcPr>
          <w:p>
            <w:r/>
            <w:r>
              <w:rPr>
                <w:b w:val="0"/>
                <w:i w:val="0"/>
                <w:sz w:val="16"/>
              </w:rPr>
              <w:t>Sales Value / Qty</w:t>
            </w:r>
          </w:p>
        </w:tc>
      </w:tr>
      <w:tr>
        <w:tc>
          <w:tcPr>
            <w:tcW w:type="dxa" w:w="2041"/>
          </w:tcPr>
          <w:p>
            <w:r/>
            <w:r>
              <w:rPr>
                <w:b w:val="0"/>
                <w:i w:val="0"/>
                <w:sz w:val="16"/>
              </w:rPr>
              <w:t>Value share</w:t>
            </w:r>
          </w:p>
        </w:tc>
        <w:tc>
          <w:tcPr>
            <w:tcW w:type="dxa" w:w="4762"/>
          </w:tcPr>
          <w:p>
            <w:r/>
            <w:r>
              <w:rPr>
                <w:b w:val="0"/>
                <w:i w:val="0"/>
                <w:sz w:val="16"/>
              </w:rPr>
              <w:t>FY value / (Market Qty x Market AvgPrice ExSeed)</w:t>
            </w:r>
          </w:p>
        </w:tc>
        <w:tc>
          <w:tcPr>
            <w:tcW w:type="dxa" w:w="2835"/>
          </w:tcPr>
          <w:p>
            <w:r/>
            <w:r>
              <w:rPr>
                <w:b w:val="0"/>
                <w:i w:val="0"/>
                <w:sz w:val="16"/>
              </w:rPr>
              <w:t>market_years</w:t>
            </w:r>
          </w:p>
        </w:tc>
      </w:tr>
      <w:tr>
        <w:tc>
          <w:tcPr>
            <w:tcW w:type="dxa" w:w="2041"/>
          </w:tcPr>
          <w:p>
            <w:r/>
            <w:r>
              <w:rPr>
                <w:b w:val="0"/>
                <w:i w:val="0"/>
                <w:sz w:val="16"/>
              </w:rPr>
              <w:t>Mega value share</w:t>
            </w:r>
          </w:p>
        </w:tc>
        <w:tc>
          <w:tcPr>
            <w:tcW w:type="dxa" w:w="4762"/>
          </w:tcPr>
          <w:p>
            <w:r/>
            <w:r>
              <w:rPr>
                <w:b w:val="0"/>
                <w:i w:val="0"/>
                <w:sz w:val="16"/>
              </w:rPr>
              <w:t>(Syngenta mega value - segment plan value + FY value) / sum over segments of market qty x ex-seed price</w:t>
            </w:r>
          </w:p>
        </w:tc>
        <w:tc>
          <w:tcPr>
            <w:tcW w:type="dxa" w:w="2835"/>
          </w:tcPr>
          <w:p>
            <w:r/>
            <w:r>
              <w:rPr>
                <w:b w:val="0"/>
                <w:i w:val="0"/>
                <w:sz w:val="16"/>
              </w:rPr>
              <w:t>all segments</w:t>
            </w:r>
          </w:p>
        </w:tc>
      </w:tr>
      <w:tr>
        <w:tc>
          <w:tcPr>
            <w:tcW w:type="dxa" w:w="2041"/>
          </w:tcPr>
          <w:p>
            <w:r/>
            <w:r>
              <w:rPr>
                <w:b w:val="0"/>
                <w:i w:val="0"/>
                <w:sz w:val="16"/>
              </w:rPr>
              <w:t>Competitor new share</w:t>
            </w:r>
          </w:p>
        </w:tc>
        <w:tc>
          <w:tcPr>
            <w:tcW w:type="dxa" w:w="4762"/>
          </w:tcPr>
          <w:p>
            <w:r/>
            <w:r>
              <w:rPr>
                <w:b w:val="0"/>
                <w:i w:val="0"/>
                <w:sz w:val="16"/>
              </w:rPr>
              <w:t>share x (100 - new Syngenta %) / (100 - baseline Syngenta %)</w:t>
            </w:r>
          </w:p>
        </w:tc>
        <w:tc>
          <w:tcPr>
            <w:tcW w:type="dxa" w:w="2835"/>
          </w:tcPr>
          <w:p>
            <w:r/>
            <w:r>
              <w:rPr>
                <w:b w:val="0"/>
                <w:i w:val="0"/>
                <w:sz w:val="16"/>
              </w:rPr>
              <w:t>competitor_shares</w:t>
            </w:r>
          </w:p>
        </w:tc>
      </w:tr>
      <w:tr>
        <w:tc>
          <w:tcPr>
            <w:tcW w:type="dxa" w:w="2041"/>
          </w:tcPr>
          <w:p>
            <w:r/>
            <w:r>
              <w:rPr>
                <w:b w:val="0"/>
                <w:i w:val="0"/>
                <w:sz w:val="16"/>
              </w:rPr>
              <w:t>Implied hectares</w:t>
            </w:r>
          </w:p>
        </w:tc>
        <w:tc>
          <w:tcPr>
            <w:tcW w:type="dxa" w:w="4762"/>
          </w:tcPr>
          <w:p>
            <w:r/>
            <w:r>
              <w:rPr>
                <w:b w:val="0"/>
                <w:i w:val="0"/>
                <w:sz w:val="16"/>
              </w:rPr>
              <w:t>FY / Market Avg Plant Density</w:t>
            </w:r>
          </w:p>
        </w:tc>
        <w:tc>
          <w:tcPr>
            <w:tcW w:type="dxa" w:w="2835"/>
          </w:tcPr>
          <w:p>
            <w:r/>
            <w:r>
              <w:rPr>
                <w:b w:val="0"/>
                <w:i w:val="0"/>
                <w:sz w:val="16"/>
              </w:rPr>
              <w:t>market_years.density</w:t>
            </w:r>
          </w:p>
        </w:tc>
      </w:tr>
      <w:tr>
        <w:tc>
          <w:tcPr>
            <w:tcW w:type="dxa" w:w="2041"/>
          </w:tcPr>
          <w:p>
            <w:r/>
            <w:r>
              <w:rPr>
                <w:b w:val="0"/>
                <w:i w:val="0"/>
                <w:sz w:val="16"/>
              </w:rPr>
              <w:t>Mega implied hectares</w:t>
            </w:r>
          </w:p>
        </w:tc>
        <w:tc>
          <w:tcPr>
            <w:tcW w:type="dxa" w:w="4762"/>
          </w:tcPr>
          <w:p>
            <w:r/>
            <w:r>
              <w:rPr>
                <w:b w:val="0"/>
                <w:i w:val="0"/>
                <w:sz w:val="16"/>
              </w:rPr>
              <w:t>sum(plan qty / density) - segment plan / density + FY / density</w:t>
            </w:r>
          </w:p>
        </w:tc>
        <w:tc>
          <w:tcPr>
            <w:tcW w:type="dxa" w:w="2835"/>
          </w:tcPr>
          <w:p>
            <w:r/>
            <w:r>
              <w:rPr>
                <w:b w:val="0"/>
                <w:i w:val="0"/>
                <w:sz w:val="16"/>
              </w:rPr>
              <w:t>-</w:t>
            </w:r>
          </w:p>
        </w:tc>
      </w:tr>
      <w:tr>
        <w:tc>
          <w:tcPr>
            <w:tcW w:type="dxa" w:w="2041"/>
          </w:tcPr>
          <w:p>
            <w:r/>
            <w:r>
              <w:rPr>
                <w:b w:val="0"/>
                <w:i w:val="0"/>
                <w:sz w:val="16"/>
              </w:rPr>
              <w:t>Volume effect</w:t>
            </w:r>
          </w:p>
        </w:tc>
        <w:tc>
          <w:tcPr>
            <w:tcW w:type="dxa" w:w="4762"/>
          </w:tcPr>
          <w:p>
            <w:r/>
            <w:r>
              <w:rPr>
                <w:b w:val="0"/>
                <w:i w:val="0"/>
                <w:sz w:val="16"/>
              </w:rPr>
              <w:t>(FY - last-year qty) x last-year price</w:t>
            </w:r>
          </w:p>
        </w:tc>
        <w:tc>
          <w:tcPr>
            <w:tcW w:type="dxa" w:w="2835"/>
          </w:tcPr>
          <w:p>
            <w:r/>
            <w:r>
              <w:rPr>
                <w:b w:val="0"/>
                <w:i w:val="0"/>
                <w:sz w:val="16"/>
              </w:rPr>
              <w:t>plan_years 2025</w:t>
            </w:r>
          </w:p>
        </w:tc>
      </w:tr>
      <w:tr>
        <w:tc>
          <w:tcPr>
            <w:tcW w:type="dxa" w:w="2041"/>
          </w:tcPr>
          <w:p>
            <w:r/>
            <w:r>
              <w:rPr>
                <w:b w:val="0"/>
                <w:i w:val="0"/>
                <w:sz w:val="16"/>
              </w:rPr>
              <w:t>Price effect</w:t>
            </w:r>
          </w:p>
        </w:tc>
        <w:tc>
          <w:tcPr>
            <w:tcW w:type="dxa" w:w="4762"/>
          </w:tcPr>
          <w:p>
            <w:r/>
            <w:r>
              <w:rPr>
                <w:b w:val="0"/>
                <w:i w:val="0"/>
                <w:sz w:val="16"/>
              </w:rPr>
              <w:t>(FY value / FY - last-year price) x FY</w:t>
            </w:r>
          </w:p>
        </w:tc>
        <w:tc>
          <w:tcPr>
            <w:tcW w:type="dxa" w:w="2835"/>
          </w:tcPr>
          <w:p>
            <w:r/>
            <w:r>
              <w:rPr>
                <w:b w:val="0"/>
                <w:i w:val="0"/>
                <w:sz w:val="16"/>
              </w:rPr>
              <w:t>-</w:t>
            </w:r>
          </w:p>
        </w:tc>
      </w:tr>
      <w:tr>
        <w:tc>
          <w:tcPr>
            <w:tcW w:type="dxa" w:w="2041"/>
          </w:tcPr>
          <w:p>
            <w:r/>
            <w:r>
              <w:rPr>
                <w:b w:val="0"/>
                <w:i w:val="0"/>
                <w:sz w:val="16"/>
              </w:rPr>
              <w:t>Price share of change</w:t>
            </w:r>
          </w:p>
        </w:tc>
        <w:tc>
          <w:tcPr>
            <w:tcW w:type="dxa" w:w="4762"/>
          </w:tcPr>
          <w:p>
            <w:r/>
            <w:r>
              <w:rPr>
                <w:b w:val="0"/>
                <w:i w:val="0"/>
                <w:sz w:val="16"/>
              </w:rPr>
              <w:t>price effect / (|volume effect| + |price effect|)</w:t>
            </w:r>
          </w:p>
        </w:tc>
        <w:tc>
          <w:tcPr>
            <w:tcW w:type="dxa" w:w="2835"/>
          </w:tcPr>
          <w:p>
            <w:r/>
            <w:r>
              <w:rPr>
                <w:b w:val="0"/>
                <w:i w:val="0"/>
                <w:sz w:val="16"/>
              </w:rPr>
              <w:t>-</w:t>
            </w:r>
          </w:p>
        </w:tc>
      </w:tr>
      <w:tr>
        <w:tc>
          <w:tcPr>
            <w:tcW w:type="dxa" w:w="2041"/>
          </w:tcPr>
          <w:p>
            <w:r/>
            <w:r>
              <w:rPr>
                <w:b w:val="0"/>
                <w:i w:val="0"/>
                <w:sz w:val="16"/>
              </w:rPr>
              <w:t>Month sigma</w:t>
            </w:r>
          </w:p>
        </w:tc>
        <w:tc>
          <w:tcPr>
            <w:tcW w:type="dxa" w:w="4762"/>
          </w:tcPr>
          <w:p>
            <w:r/>
            <w:r>
              <w:rPr>
                <w:b w:val="0"/>
                <w:i w:val="0"/>
                <w:sz w:val="16"/>
              </w:rPr>
              <w:t>max(population stdev of (actual_m - plan_m) for closed months, 15% of plan_m, 50 KS)</w:t>
            </w:r>
          </w:p>
        </w:tc>
        <w:tc>
          <w:tcPr>
            <w:tcW w:type="dxa" w:w="2835"/>
          </w:tcPr>
          <w:p>
            <w:r/>
            <w:r>
              <w:rPr>
                <w:b w:val="0"/>
                <w:i w:val="0"/>
                <w:sz w:val="16"/>
              </w:rPr>
              <w:t>-</w:t>
            </w:r>
          </w:p>
        </w:tc>
      </w:tr>
      <w:tr>
        <w:tc>
          <w:tcPr>
            <w:tcW w:type="dxa" w:w="2041"/>
          </w:tcPr>
          <w:p>
            <w:r/>
            <w:r>
              <w:rPr>
                <w:b w:val="0"/>
                <w:i w:val="0"/>
                <w:sz w:val="16"/>
              </w:rPr>
              <w:t>Month z</w:t>
            </w:r>
          </w:p>
        </w:tc>
        <w:tc>
          <w:tcPr>
            <w:tcW w:type="dxa" w:w="4762"/>
          </w:tcPr>
          <w:p>
            <w:r/>
            <w:r>
              <w:rPr>
                <w:b w:val="0"/>
                <w:i w:val="0"/>
                <w:sz w:val="16"/>
              </w:rPr>
              <w:t>(value - plan_m) / month sigma</w:t>
            </w:r>
          </w:p>
        </w:tc>
        <w:tc>
          <w:tcPr>
            <w:tcW w:type="dxa" w:w="2835"/>
          </w:tcPr>
          <w:p>
            <w:r/>
            <w:r>
              <w:rPr>
                <w:b w:val="0"/>
                <w:i w:val="0"/>
                <w:sz w:val="16"/>
              </w:rPr>
              <w:t>-</w:t>
            </w:r>
          </w:p>
        </w:tc>
      </w:tr>
    </w:tbl>
    <w:p>
      <w:pPr>
        <w:spacing w:after="40"/>
      </w:pPr>
    </w:p>
    <w:p>
      <w:pPr>
        <w:spacing w:after="120"/>
      </w:pPr>
      <w:r>
        <w:rPr>
          <w:b w:val="0"/>
          <w:i w:val="0"/>
        </w:rPr>
        <w:t>Market Qty (KS) equals Market Planted Area (HA) x Market Avg Plant Density on all 994 market rows that carry both values, which is why hectares and seed quantity can be converted in both directions. Competitor EUR values equal market quantity x ex-seed price x share (median ratio 1.000 across 73 mega-segments), which is why value share is computed against quantity x ex-seed price.</w:t>
      </w:r>
    </w:p>
    <w:p>
      <w:pPr>
        <w:pStyle w:val="Heading1"/>
      </w:pPr>
      <w:r>
        <w:t>9. Plausibility rules</w:t>
      </w:r>
    </w:p>
    <w:p>
      <w:pPr>
        <w:spacing w:after="40"/>
      </w:pPr>
      <w:r>
        <w:rPr>
          <w:b/>
          <w:sz w:val="18"/>
        </w:rPr>
        <w:t>Table 9. Flags (identical in flags.py and flags.ts)</w:t>
      </w:r>
    </w:p>
    <w:tbl>
      <w:tblPr>
        <w:tblStyle w:val="LightGrid-Accent1"/>
        <w:tblW w:type="auto" w:w="0"/>
        <w:jc w:val="center"/>
        <w:tblLook w:firstColumn="1" w:firstRow="1" w:lastColumn="0" w:lastRow="0" w:noHBand="0" w:noVBand="1" w:val="04A0"/>
      </w:tblPr>
      <w:tblGrid>
        <w:gridCol w:w="1928"/>
        <w:gridCol w:w="1928"/>
        <w:gridCol w:w="1928"/>
        <w:gridCol w:w="1928"/>
        <w:gridCol w:w="1928"/>
      </w:tblGrid>
      <w:tr>
        <w:tc>
          <w:tcPr>
            <w:tcW w:type="dxa" w:w="1757"/>
          </w:tcPr>
          <w:p>
            <w:r/>
            <w:r>
              <w:rPr>
                <w:b/>
                <w:sz w:val="15"/>
              </w:rPr>
              <w:t>Code</w:t>
            </w:r>
          </w:p>
        </w:tc>
        <w:tc>
          <w:tcPr>
            <w:tcW w:type="dxa" w:w="907"/>
          </w:tcPr>
          <w:p>
            <w:r/>
            <w:r>
              <w:rPr>
                <w:b/>
                <w:sz w:val="15"/>
              </w:rPr>
              <w:t>Severity</w:t>
            </w:r>
          </w:p>
        </w:tc>
        <w:tc>
          <w:tcPr>
            <w:tcW w:type="dxa" w:w="2381"/>
          </w:tcPr>
          <w:p>
            <w:r/>
            <w:r>
              <w:rPr>
                <w:b/>
                <w:sz w:val="15"/>
              </w:rPr>
              <w:t>Fires when</w:t>
            </w:r>
          </w:p>
        </w:tc>
        <w:tc>
          <w:tcPr>
            <w:tcW w:type="dxa" w:w="2041"/>
          </w:tcPr>
          <w:p>
            <w:r/>
            <w:r>
              <w:rPr>
                <w:b/>
                <w:sz w:val="15"/>
              </w:rPr>
              <w:t>Threshold</w:t>
            </w:r>
          </w:p>
        </w:tc>
        <w:tc>
          <w:tcPr>
            <w:tcW w:type="dxa" w:w="2551"/>
          </w:tcPr>
          <w:p>
            <w:r/>
            <w:r>
              <w:rPr>
                <w:b/>
                <w:sz w:val="15"/>
              </w:rPr>
              <w:t>Why it matters</w:t>
            </w:r>
          </w:p>
        </w:tc>
      </w:tr>
      <w:tr>
        <w:tc>
          <w:tcPr>
            <w:tcW w:type="dxa" w:w="1757"/>
          </w:tcPr>
          <w:p>
            <w:r/>
            <w:r>
              <w:rPr>
                <w:b w:val="0"/>
                <w:i w:val="0"/>
                <w:sz w:val="15"/>
              </w:rPr>
              <w:t>no_market</w:t>
            </w:r>
          </w:p>
        </w:tc>
        <w:tc>
          <w:tcPr>
            <w:tcW w:type="dxa" w:w="907"/>
          </w:tcPr>
          <w:p>
            <w:r/>
            <w:r>
              <w:rPr>
                <w:b w:val="0"/>
                <w:i w:val="0"/>
                <w:sz w:val="15"/>
              </w:rPr>
              <w:t>critical</w:t>
            </w:r>
          </w:p>
        </w:tc>
        <w:tc>
          <w:tcPr>
            <w:tcW w:type="dxa" w:w="2381"/>
          </w:tcPr>
          <w:p>
            <w:r/>
            <w:r>
              <w:rPr>
                <w:b w:val="0"/>
                <w:i w:val="0"/>
                <w:sz w:val="15"/>
              </w:rPr>
              <w:t>Segment has no market quantity</w:t>
            </w:r>
          </w:p>
        </w:tc>
        <w:tc>
          <w:tcPr>
            <w:tcW w:type="dxa" w:w="2041"/>
          </w:tcPr>
          <w:p>
            <w:r/>
            <w:r>
              <w:rPr>
                <w:b w:val="0"/>
                <w:i w:val="0"/>
                <w:sz w:val="15"/>
              </w:rPr>
              <w:t>market KS &lt;= 0</w:t>
            </w:r>
          </w:p>
        </w:tc>
        <w:tc>
          <w:tcPr>
            <w:tcW w:type="dxa" w:w="2551"/>
          </w:tcPr>
          <w:p>
            <w:r/>
            <w:r>
              <w:rPr>
                <w:b w:val="0"/>
                <w:i w:val="0"/>
                <w:sz w:val="15"/>
              </w:rPr>
              <w:t>Share cannot be checked; data-quality issue.</w:t>
            </w:r>
          </w:p>
        </w:tc>
      </w:tr>
      <w:tr>
        <w:tc>
          <w:tcPr>
            <w:tcW w:type="dxa" w:w="1757"/>
          </w:tcPr>
          <w:p>
            <w:r/>
            <w:r>
              <w:rPr>
                <w:b w:val="0"/>
                <w:i w:val="0"/>
                <w:sz w:val="15"/>
              </w:rPr>
              <w:t>share_over_100</w:t>
            </w:r>
          </w:p>
        </w:tc>
        <w:tc>
          <w:tcPr>
            <w:tcW w:type="dxa" w:w="907"/>
          </w:tcPr>
          <w:p>
            <w:r/>
            <w:r>
              <w:rPr>
                <w:b w:val="0"/>
                <w:i w:val="0"/>
                <w:sz w:val="15"/>
              </w:rPr>
              <w:t>critical</w:t>
            </w:r>
          </w:p>
        </w:tc>
        <w:tc>
          <w:tcPr>
            <w:tcW w:type="dxa" w:w="2381"/>
          </w:tcPr>
          <w:p>
            <w:r/>
            <w:r>
              <w:rPr>
                <w:b w:val="0"/>
                <w:i w:val="0"/>
                <w:sz w:val="15"/>
              </w:rPr>
              <w:t>Implied volume share above the whole market</w:t>
            </w:r>
          </w:p>
        </w:tc>
        <w:tc>
          <w:tcPr>
            <w:tcW w:type="dxa" w:w="2041"/>
          </w:tcPr>
          <w:p>
            <w:r/>
            <w:r>
              <w:rPr>
                <w:b w:val="0"/>
                <w:i w:val="0"/>
                <w:sz w:val="15"/>
              </w:rPr>
              <w:t>&gt; 100%</w:t>
            </w:r>
          </w:p>
        </w:tc>
        <w:tc>
          <w:tcPr>
            <w:tcW w:type="dxa" w:w="2551"/>
          </w:tcPr>
          <w:p>
            <w:r/>
            <w:r>
              <w:rPr>
                <w:b w:val="0"/>
                <w:i w:val="0"/>
                <w:sz w:val="15"/>
              </w:rPr>
              <w:t>Physically impossible.</w:t>
            </w:r>
          </w:p>
        </w:tc>
      </w:tr>
      <w:tr>
        <w:tc>
          <w:tcPr>
            <w:tcW w:type="dxa" w:w="1757"/>
          </w:tcPr>
          <w:p>
            <w:r/>
            <w:r>
              <w:rPr>
                <w:b w:val="0"/>
                <w:i w:val="0"/>
                <w:sz w:val="15"/>
              </w:rPr>
              <w:t>share_above_history</w:t>
            </w:r>
          </w:p>
        </w:tc>
        <w:tc>
          <w:tcPr>
            <w:tcW w:type="dxa" w:w="907"/>
          </w:tcPr>
          <w:p>
            <w:r/>
            <w:r>
              <w:rPr>
                <w:b w:val="0"/>
                <w:i w:val="0"/>
                <w:sz w:val="15"/>
              </w:rPr>
              <w:t>warning</w:t>
            </w:r>
          </w:p>
        </w:tc>
        <w:tc>
          <w:tcPr>
            <w:tcW w:type="dxa" w:w="2381"/>
          </w:tcPr>
          <w:p>
            <w:r/>
            <w:r>
              <w:rPr>
                <w:b w:val="0"/>
                <w:i w:val="0"/>
                <w:sz w:val="15"/>
              </w:rPr>
              <w:t>Share far above anything seen</w:t>
            </w:r>
          </w:p>
        </w:tc>
        <w:tc>
          <w:tcPr>
            <w:tcW w:type="dxa" w:w="2041"/>
          </w:tcPr>
          <w:p>
            <w:r/>
            <w:r>
              <w:rPr>
                <w:b w:val="0"/>
                <w:i w:val="0"/>
                <w:sz w:val="15"/>
              </w:rPr>
              <w:t>&gt; 2024-2026 max + 10 pts</w:t>
            </w:r>
          </w:p>
        </w:tc>
        <w:tc>
          <w:tcPr>
            <w:tcW w:type="dxa" w:w="2551"/>
          </w:tcPr>
          <w:p>
            <w:r/>
            <w:r>
              <w:rPr>
                <w:b w:val="0"/>
                <w:i w:val="0"/>
                <w:sz w:val="15"/>
              </w:rPr>
              <w:t>Unprecedented gains need evidence.</w:t>
            </w:r>
          </w:p>
        </w:tc>
      </w:tr>
      <w:tr>
        <w:tc>
          <w:tcPr>
            <w:tcW w:type="dxa" w:w="1757"/>
          </w:tcPr>
          <w:p>
            <w:r/>
            <w:r>
              <w:rPr>
                <w:b w:val="0"/>
                <w:i w:val="0"/>
                <w:sz w:val="15"/>
              </w:rPr>
              <w:t>implied_ha_over_market</w:t>
            </w:r>
          </w:p>
        </w:tc>
        <w:tc>
          <w:tcPr>
            <w:tcW w:type="dxa" w:w="907"/>
          </w:tcPr>
          <w:p>
            <w:r/>
            <w:r>
              <w:rPr>
                <w:b w:val="0"/>
                <w:i w:val="0"/>
                <w:sz w:val="15"/>
              </w:rPr>
              <w:t>critical</w:t>
            </w:r>
          </w:p>
        </w:tc>
        <w:tc>
          <w:tcPr>
            <w:tcW w:type="dxa" w:w="2381"/>
          </w:tcPr>
          <w:p>
            <w:r/>
            <w:r>
              <w:rPr>
                <w:b w:val="0"/>
                <w:i w:val="0"/>
                <w:sz w:val="15"/>
              </w:rPr>
              <w:t>Implied Syngenta hectares exceed planted area</w:t>
            </w:r>
          </w:p>
        </w:tc>
        <w:tc>
          <w:tcPr>
            <w:tcW w:type="dxa" w:w="2041"/>
          </w:tcPr>
          <w:p>
            <w:r/>
            <w:r>
              <w:rPr>
                <w:b w:val="0"/>
                <w:i w:val="0"/>
                <w:sz w:val="15"/>
              </w:rPr>
              <w:t>&gt; market ha</w:t>
            </w:r>
          </w:p>
        </w:tc>
        <w:tc>
          <w:tcPr>
            <w:tcW w:type="dxa" w:w="2551"/>
          </w:tcPr>
          <w:p>
            <w:r/>
            <w:r>
              <w:rPr>
                <w:b w:val="0"/>
                <w:i w:val="0"/>
                <w:sz w:val="15"/>
              </w:rPr>
              <w:t>More seed than land.</w:t>
            </w:r>
          </w:p>
        </w:tc>
      </w:tr>
      <w:tr>
        <w:tc>
          <w:tcPr>
            <w:tcW w:type="dxa" w:w="1757"/>
          </w:tcPr>
          <w:p>
            <w:r/>
            <w:r>
              <w:rPr>
                <w:b w:val="0"/>
                <w:i w:val="0"/>
                <w:sz w:val="15"/>
              </w:rPr>
              <w:t>month_outlier</w:t>
            </w:r>
          </w:p>
        </w:tc>
        <w:tc>
          <w:tcPr>
            <w:tcW w:type="dxa" w:w="907"/>
          </w:tcPr>
          <w:p>
            <w:r/>
            <w:r>
              <w:rPr>
                <w:b w:val="0"/>
                <w:i w:val="0"/>
                <w:sz w:val="15"/>
              </w:rPr>
              <w:t>warning</w:t>
            </w:r>
          </w:p>
        </w:tc>
        <w:tc>
          <w:tcPr>
            <w:tcW w:type="dxa" w:w="2381"/>
          </w:tcPr>
          <w:p>
            <w:r/>
            <w:r>
              <w:rPr>
                <w:b w:val="0"/>
                <w:i w:val="0"/>
                <w:sz w:val="15"/>
              </w:rPr>
              <w:t>Far from both plan month and last year's month</w:t>
            </w:r>
          </w:p>
        </w:tc>
        <w:tc>
          <w:tcPr>
            <w:tcW w:type="dxa" w:w="2041"/>
          </w:tcPr>
          <w:p>
            <w:r/>
            <w:r>
              <w:rPr>
                <w:b w:val="0"/>
                <w:i w:val="0"/>
                <w:sz w:val="15"/>
              </w:rPr>
              <w:t>&gt; 2 sigma from each</w:t>
            </w:r>
          </w:p>
        </w:tc>
        <w:tc>
          <w:tcPr>
            <w:tcW w:type="dxa" w:w="2551"/>
          </w:tcPr>
          <w:p>
            <w:r/>
            <w:r>
              <w:rPr>
                <w:b w:val="0"/>
                <w:i w:val="0"/>
                <w:sz w:val="15"/>
              </w:rPr>
              <w:t>Catches typos and unexplained spikes.</w:t>
            </w:r>
          </w:p>
        </w:tc>
      </w:tr>
      <w:tr>
        <w:tc>
          <w:tcPr>
            <w:tcW w:type="dxa" w:w="1757"/>
          </w:tcPr>
          <w:p>
            <w:r/>
            <w:r>
              <w:rPr>
                <w:b w:val="0"/>
                <w:i w:val="0"/>
                <w:sz w:val="15"/>
              </w:rPr>
              <w:t>against_market_trend</w:t>
            </w:r>
          </w:p>
        </w:tc>
        <w:tc>
          <w:tcPr>
            <w:tcW w:type="dxa" w:w="907"/>
          </w:tcPr>
          <w:p>
            <w:r/>
            <w:r>
              <w:rPr>
                <w:b w:val="0"/>
                <w:i w:val="0"/>
                <w:sz w:val="15"/>
              </w:rPr>
              <w:t>warning</w:t>
            </w:r>
          </w:p>
        </w:tc>
        <w:tc>
          <w:tcPr>
            <w:tcW w:type="dxa" w:w="2381"/>
          </w:tcPr>
          <w:p>
            <w:r/>
            <w:r>
              <w:rPr>
                <w:b w:val="0"/>
                <w:i w:val="0"/>
                <w:sz w:val="15"/>
              </w:rPr>
              <w:t>Demand up while area shrinks, or down while it grows</w:t>
            </w:r>
          </w:p>
        </w:tc>
        <w:tc>
          <w:tcPr>
            <w:tcW w:type="dxa" w:w="2041"/>
          </w:tcPr>
          <w:p>
            <w:r/>
            <w:r>
              <w:rPr>
                <w:b w:val="0"/>
                <w:i w:val="0"/>
                <w:sz w:val="15"/>
              </w:rPr>
              <w:t>area change beyond +/-3% and entry beyond +/-5% of plan month</w:t>
            </w:r>
          </w:p>
        </w:tc>
        <w:tc>
          <w:tcPr>
            <w:tcW w:type="dxa" w:w="2551"/>
          </w:tcPr>
          <w:p>
            <w:r/>
            <w:r>
              <w:rPr>
                <w:b w:val="0"/>
                <w:i w:val="0"/>
                <w:sz w:val="15"/>
              </w:rPr>
              <w:t>Contradicts market dynamics (e.g. T. parvispinus); message quotes the market note.</w:t>
            </w:r>
          </w:p>
        </w:tc>
      </w:tr>
      <w:tr>
        <w:tc>
          <w:tcPr>
            <w:tcW w:type="dxa" w:w="1757"/>
          </w:tcPr>
          <w:p>
            <w:r/>
            <w:r>
              <w:rPr>
                <w:b w:val="0"/>
                <w:i w:val="0"/>
                <w:sz w:val="15"/>
              </w:rPr>
              <w:t>price_carrying</w:t>
            </w:r>
          </w:p>
        </w:tc>
        <w:tc>
          <w:tcPr>
            <w:tcW w:type="dxa" w:w="907"/>
          </w:tcPr>
          <w:p>
            <w:r/>
            <w:r>
              <w:rPr>
                <w:b w:val="0"/>
                <w:i w:val="0"/>
                <w:sz w:val="15"/>
              </w:rPr>
              <w:t>warning</w:t>
            </w:r>
          </w:p>
        </w:tc>
        <w:tc>
          <w:tcPr>
            <w:tcW w:type="dxa" w:w="2381"/>
          </w:tcPr>
          <w:p>
            <w:r/>
            <w:r>
              <w:rPr>
                <w:b w:val="0"/>
                <w:i w:val="0"/>
                <w:sz w:val="15"/>
              </w:rPr>
              <w:t>Volume falls vs last year and price supplies most of the revenue movement</w:t>
            </w:r>
          </w:p>
        </w:tc>
        <w:tc>
          <w:tcPr>
            <w:tcW w:type="dxa" w:w="2041"/>
          </w:tcPr>
          <w:p>
            <w:r/>
            <w:r>
              <w:rPr>
                <w:b w:val="0"/>
                <w:i w:val="0"/>
                <w:sz w:val="15"/>
              </w:rPr>
              <w:t>volume effect &lt; 0, price effect &gt; 0, price share &gt;= 70%</w:t>
            </w:r>
          </w:p>
        </w:tc>
        <w:tc>
          <w:tcPr>
            <w:tcW w:type="dxa" w:w="2551"/>
          </w:tcPr>
          <w:p>
            <w:r/>
            <w:r>
              <w:rPr>
                <w:b w:val="0"/>
                <w:i w:val="0"/>
                <w:sz w:val="15"/>
              </w:rPr>
              <w:t>Revenue plan depends on an unvalidated price assumption.</w:t>
            </w:r>
          </w:p>
        </w:tc>
      </w:tr>
      <w:tr>
        <w:tc>
          <w:tcPr>
            <w:tcW w:type="dxa" w:w="1757"/>
          </w:tcPr>
          <w:p>
            <w:r/>
            <w:r>
              <w:rPr>
                <w:b w:val="0"/>
                <w:i w:val="0"/>
                <w:sz w:val="15"/>
              </w:rPr>
              <w:t>above_grower_potential</w:t>
            </w:r>
          </w:p>
        </w:tc>
        <w:tc>
          <w:tcPr>
            <w:tcW w:type="dxa" w:w="907"/>
          </w:tcPr>
          <w:p>
            <w:r/>
            <w:r>
              <w:rPr>
                <w:b w:val="0"/>
                <w:i w:val="0"/>
                <w:sz w:val="15"/>
              </w:rPr>
              <w:t>warning</w:t>
            </w:r>
          </w:p>
        </w:tc>
        <w:tc>
          <w:tcPr>
            <w:tcW w:type="dxa" w:w="2381"/>
          </w:tcPr>
          <w:p>
            <w:r/>
            <w:r>
              <w:rPr>
                <w:b w:val="0"/>
                <w:i w:val="0"/>
                <w:sz w:val="15"/>
              </w:rPr>
              <w:t>Mega implied ha above CRM Syngenta grower potential</w:t>
            </w:r>
          </w:p>
        </w:tc>
        <w:tc>
          <w:tcPr>
            <w:tcW w:type="dxa" w:w="2041"/>
          </w:tcPr>
          <w:p>
            <w:r/>
            <w:r>
              <w:rPr>
                <w:b w:val="0"/>
                <w:i w:val="0"/>
                <w:sz w:val="15"/>
              </w:rPr>
              <w:t>&gt; capped Syngenta ha</w:t>
            </w:r>
          </w:p>
        </w:tc>
        <w:tc>
          <w:tcPr>
            <w:tcW w:type="dxa" w:w="2551"/>
          </w:tcPr>
          <w:p>
            <w:r/>
            <w:r>
              <w:rPr>
                <w:b w:val="0"/>
                <w:i w:val="0"/>
                <w:sz w:val="15"/>
              </w:rPr>
              <w:t>More than the known customer base could plant.</w:t>
            </w:r>
          </w:p>
        </w:tc>
      </w:tr>
      <w:tr>
        <w:tc>
          <w:tcPr>
            <w:tcW w:type="dxa" w:w="1757"/>
          </w:tcPr>
          <w:p>
            <w:r/>
            <w:r>
              <w:rPr>
                <w:b w:val="0"/>
                <w:i w:val="0"/>
                <w:sz w:val="15"/>
              </w:rPr>
              <w:t>range_too_wide</w:t>
            </w:r>
          </w:p>
        </w:tc>
        <w:tc>
          <w:tcPr>
            <w:tcW w:type="dxa" w:w="907"/>
          </w:tcPr>
          <w:p>
            <w:r/>
            <w:r>
              <w:rPr>
                <w:b w:val="0"/>
                <w:i w:val="0"/>
                <w:sz w:val="15"/>
              </w:rPr>
              <w:t>warning</w:t>
            </w:r>
          </w:p>
        </w:tc>
        <w:tc>
          <w:tcPr>
            <w:tcW w:type="dxa" w:w="2381"/>
          </w:tcPr>
          <w:p>
            <w:r/>
            <w:r>
              <w:rPr>
                <w:b w:val="0"/>
                <w:i w:val="0"/>
                <w:sz w:val="15"/>
              </w:rPr>
              <w:t>Low-high range large relative to the number</w:t>
            </w:r>
          </w:p>
        </w:tc>
        <w:tc>
          <w:tcPr>
            <w:tcW w:type="dxa" w:w="2041"/>
          </w:tcPr>
          <w:p>
            <w:r/>
            <w:r>
              <w:rPr>
                <w:b w:val="0"/>
                <w:i w:val="0"/>
                <w:sz w:val="15"/>
              </w:rPr>
              <w:t>(high - low) / value &gt; 30%</w:t>
            </w:r>
          </w:p>
        </w:tc>
        <w:tc>
          <w:tcPr>
            <w:tcW w:type="dxa" w:w="2551"/>
          </w:tcPr>
          <w:p>
            <w:r/>
            <w:r>
              <w:rPr>
                <w:b w:val="0"/>
                <w:i w:val="0"/>
                <w:sz w:val="15"/>
              </w:rPr>
              <w:t>Supply will build to the low end.</w:t>
            </w:r>
          </w:p>
        </w:tc>
      </w:tr>
      <w:tr>
        <w:tc>
          <w:tcPr>
            <w:tcW w:type="dxa" w:w="1757"/>
          </w:tcPr>
          <w:p>
            <w:r/>
            <w:r>
              <w:rPr>
                <w:b w:val="0"/>
                <w:i w:val="0"/>
                <w:sz w:val="15"/>
              </w:rPr>
              <w:t>price_outside_history</w:t>
            </w:r>
          </w:p>
        </w:tc>
        <w:tc>
          <w:tcPr>
            <w:tcW w:type="dxa" w:w="907"/>
          </w:tcPr>
          <w:p>
            <w:r/>
            <w:r>
              <w:rPr>
                <w:b w:val="0"/>
                <w:i w:val="0"/>
                <w:sz w:val="15"/>
              </w:rPr>
              <w:t>warning</w:t>
            </w:r>
          </w:p>
        </w:tc>
        <w:tc>
          <w:tcPr>
            <w:tcW w:type="dxa" w:w="2381"/>
          </w:tcPr>
          <w:p>
            <w:r/>
            <w:r>
              <w:rPr>
                <w:b w:val="0"/>
                <w:i w:val="0"/>
                <w:sz w:val="15"/>
              </w:rPr>
              <w:t>Entered net price outside history</w:t>
            </w:r>
          </w:p>
        </w:tc>
        <w:tc>
          <w:tcPr>
            <w:tcW w:type="dxa" w:w="2041"/>
          </w:tcPr>
          <w:p>
            <w:r/>
            <w:r>
              <w:rPr>
                <w:b w:val="0"/>
                <w:i w:val="0"/>
                <w:sz w:val="15"/>
              </w:rPr>
              <w:t>outside min-10% .. max+10% of 2024-2026 net prices</w:t>
            </w:r>
          </w:p>
        </w:tc>
        <w:tc>
          <w:tcPr>
            <w:tcW w:type="dxa" w:w="2551"/>
          </w:tcPr>
          <w:p>
            <w:r/>
            <w:r>
              <w:rPr>
                <w:b w:val="0"/>
                <w:i w:val="0"/>
                <w:sz w:val="15"/>
              </w:rPr>
              <w:t>Price assumption needs a reason.</w:t>
            </w:r>
          </w:p>
        </w:tc>
      </w:tr>
    </w:tbl>
    <w:p>
      <w:pPr>
        <w:spacing w:after="40"/>
      </w:pPr>
    </w:p>
    <w:p>
      <w:pPr>
        <w:spacing w:after="120"/>
      </w:pPr>
      <w:r>
        <w:rPr>
          <w:b w:val="0"/>
          <w:i w:val="0"/>
        </w:rPr>
        <w:t>Flags never block submission. Any flag makes the one-sentence justification mandatory, adds the entry to the consensus exceptions, and is stored with the entry.</w:t>
      </w:r>
    </w:p>
    <w:p>
      <w:pPr>
        <w:spacing w:after="120"/>
      </w:pPr>
      <w:r>
        <w:rPr>
          <w:b w:val="0"/>
          <w:i w:val="0"/>
        </w:rPr>
        <w:t>Two further checks compare the structured justification with the number (claim_checks.py). They are shown under the claim while the rep writes and stored as warning flags on submit, so they reach the Ledger and the consensus reasons:</w:t>
      </w:r>
    </w:p>
    <w:p>
      <w:pPr>
        <w:spacing w:after="40"/>
      </w:pPr>
      <w:r>
        <w:rPr>
          <w:b/>
          <w:sz w:val="18"/>
        </w:rPr>
        <w:t>Table 10. Claim-consistency checks</w:t>
      </w:r>
    </w:p>
    <w:tbl>
      <w:tblPr>
        <w:tblStyle w:val="LightGrid-Accent1"/>
        <w:tblW w:type="auto" w:w="0"/>
        <w:jc w:val="center"/>
        <w:tblLook w:firstColumn="1" w:firstRow="1" w:lastColumn="0" w:lastRow="0" w:noHBand="0" w:noVBand="1" w:val="04A0"/>
      </w:tblPr>
      <w:tblGrid>
        <w:gridCol w:w="3213"/>
        <w:gridCol w:w="3213"/>
        <w:gridCol w:w="3213"/>
      </w:tblGrid>
      <w:tr>
        <w:tc>
          <w:tcPr>
            <w:tcW w:type="dxa" w:w="2154"/>
          </w:tcPr>
          <w:p>
            <w:r/>
            <w:r>
              <w:rPr>
                <w:b/>
                <w:sz w:val="16"/>
              </w:rPr>
              <w:t>Code</w:t>
            </w:r>
          </w:p>
        </w:tc>
        <w:tc>
          <w:tcPr>
            <w:tcW w:type="dxa" w:w="4535"/>
          </w:tcPr>
          <w:p>
            <w:r/>
            <w:r>
              <w:rPr>
                <w:b/>
                <w:sz w:val="16"/>
              </w:rPr>
              <w:t>Fires when</w:t>
            </w:r>
          </w:p>
        </w:tc>
        <w:tc>
          <w:tcPr>
            <w:tcW w:type="dxa" w:w="2948"/>
          </w:tcPr>
          <w:p>
            <w:r/>
            <w:r>
              <w:rPr>
                <w:b/>
                <w:sz w:val="16"/>
              </w:rPr>
              <w:t>Example</w:t>
            </w:r>
          </w:p>
        </w:tc>
      </w:tr>
      <w:tr>
        <w:tc>
          <w:tcPr>
            <w:tcW w:type="dxa" w:w="2154"/>
          </w:tcPr>
          <w:p>
            <w:r/>
            <w:r>
              <w:rPr>
                <w:b w:val="0"/>
                <w:i w:val="0"/>
                <w:sz w:val="16"/>
              </w:rPr>
              <w:t>claim_direction_mismatch</w:t>
            </w:r>
          </w:p>
        </w:tc>
        <w:tc>
          <w:tcPr>
            <w:tcW w:type="dxa" w:w="4535"/>
          </w:tcPr>
          <w:p>
            <w:r/>
            <w:r>
              <w:rPr>
                <w:b w:val="0"/>
                <w:i w:val="0"/>
                <w:sz w:val="16"/>
              </w:rPr>
              <w:t>Jev reads the claim as up (down) but the number is at least 5% below (above) the plan month</w:t>
            </w:r>
          </w:p>
        </w:tc>
        <w:tc>
          <w:tcPr>
            <w:tcW w:type="dxa" w:w="2948"/>
          </w:tcPr>
          <w:p>
            <w:r/>
            <w:r>
              <w:rPr>
                <w:b w:val="0"/>
                <w:i w:val="0"/>
                <w:sz w:val="16"/>
              </w:rPr>
              <w:t>'Growers are delaying planting' with a number 15% above plan</w:t>
            </w:r>
          </w:p>
        </w:tc>
      </w:tr>
      <w:tr>
        <w:tc>
          <w:tcPr>
            <w:tcW w:type="dxa" w:w="2154"/>
          </w:tcPr>
          <w:p>
            <w:r/>
            <w:r>
              <w:rPr>
                <w:b w:val="0"/>
                <w:i w:val="0"/>
                <w:sz w:val="16"/>
              </w:rPr>
              <w:t>claim_size_mismatch</w:t>
            </w:r>
          </w:p>
        </w:tc>
        <w:tc>
          <w:tcPr>
            <w:tcW w:type="dxa" w:w="4535"/>
          </w:tcPr>
          <w:p>
            <w:r/>
            <w:r>
              <w:rPr>
                <w:b w:val="0"/>
                <w:i w:val="0"/>
                <w:sz w:val="16"/>
              </w:rPr>
              <w:t>The change vs the plan month is more than 2.5x the upper bound of the size Jev read (negligible 2%, small 5%, moderate 20%), or the rep describes a large effect and the number moves less than 8%</w:t>
            </w:r>
          </w:p>
        </w:tc>
        <w:tc>
          <w:tcPr>
            <w:tcW w:type="dxa" w:w="2948"/>
          </w:tcPr>
          <w:p>
            <w:r/>
            <w:r>
              <w:rPr>
                <w:b w:val="0"/>
                <w:i w:val="0"/>
                <w:sz w:val="16"/>
              </w:rPr>
              <w:t>A 'small' effect described for a number 900% above plan</w:t>
            </w:r>
          </w:p>
        </w:tc>
      </w:tr>
    </w:tbl>
    <w:p>
      <w:pPr>
        <w:spacing w:after="40"/>
      </w:pPr>
    </w:p>
    <w:p>
      <w:pPr>
        <w:spacing w:after="120"/>
      </w:pPr>
      <w:r>
        <w:rPr>
          <w:b w:val="0"/>
          <w:i w:val="0"/>
        </w:rPr>
        <w:t>Competitor shares in the re-split never go below 0%: if Syngenta's implied value would exceed the whole Blocky PGH market, every competitor shows 0% and the share tile says the number exceeds the market.</w:t>
      </w:r>
    </w:p>
    <w:p>
      <w:pPr>
        <w:pStyle w:val="Heading1"/>
      </w:pPr>
      <w:r>
        <w:t>10. AI design: Jev decides, Gemini writes</w:t>
      </w:r>
    </w:p>
    <w:p>
      <w:pPr>
        <w:jc w:val="center"/>
      </w:pPr>
      <w:r>
        <w:drawing>
          <wp:inline xmlns:a="http://schemas.openxmlformats.org/drawingml/2006/main" xmlns:pic="http://schemas.openxmlformats.org/drawingml/2006/picture">
            <wp:extent cx="6120000" cy="2971701"/>
            <wp:docPr id="10" name="Picture 10"/>
            <wp:cNvGraphicFramePr>
              <a:graphicFrameLocks noChangeAspect="1"/>
            </wp:cNvGraphicFramePr>
            <a:graphic>
              <a:graphicData uri="http://schemas.openxmlformats.org/drawingml/2006/picture">
                <pic:pic>
                  <pic:nvPicPr>
                    <pic:cNvPr id="0" name="ai_flow.png"/>
                    <pic:cNvPicPr/>
                  </pic:nvPicPr>
                  <pic:blipFill>
                    <a:blip r:embed="rId19"/>
                    <a:stretch>
                      <a:fillRect/>
                    </a:stretch>
                  </pic:blipFill>
                  <pic:spPr>
                    <a:xfrm>
                      <a:off x="0" y="0"/>
                      <a:ext cx="6120000" cy="2971701"/>
                    </a:xfrm>
                    <a:prstGeom prst="rect"/>
                  </pic:spPr>
                </pic:pic>
              </a:graphicData>
            </a:graphic>
          </wp:inline>
        </w:drawing>
      </w:r>
    </w:p>
    <w:p>
      <w:pPr>
        <w:jc w:val="center"/>
      </w:pPr>
      <w:r>
        <w:rPr>
          <w:i/>
          <w:sz w:val="18"/>
        </w:rPr>
        <w:t>Figure 10. AI decision flow</w:t>
      </w:r>
    </w:p>
    <w:p>
      <w:pPr>
        <w:pStyle w:val="Heading2"/>
      </w:pPr>
      <w:r>
        <w:t>10.1 Why two models</w:t>
      </w:r>
    </w:p>
    <w:p>
      <w:pPr>
        <w:spacing w:after="120"/>
      </w:pPr>
      <w:r>
        <w:rPr>
          <w:b/>
          <w:i w:val="0"/>
        </w:rPr>
        <w:t>Jev</w:t>
      </w:r>
      <w:r>
        <w:rPr>
          <w:b w:val="0"/>
          <w:i w:val="0"/>
        </w:rPr>
        <w:t xml:space="preserve"> (TypeSafe, jev-1.13.0) is a decision model: it takes a state and typed questions and returns a choice, a score or a yes-probability for each, with probabilities, in one call of roughly 0.3 s. It never writes text, which suits every classification and verification step and removes the risk of a model inventing numbers. </w:t>
      </w:r>
      <w:r>
        <w:rPr>
          <w:b/>
          <w:i w:val="0"/>
        </w:rPr>
        <w:t>Gemini 3.8 Flash</w:t>
      </w:r>
      <w:r>
        <w:rPr>
          <w:b w:val="0"/>
          <w:i w:val="0"/>
        </w:rPr>
        <w:t xml:space="preserve"> on Vertex AI (global endpoint) is used only where prose is needed or Jev is unsure.</w:t>
      </w:r>
    </w:p>
    <w:p>
      <w:pPr>
        <w:pStyle w:val="Heading2"/>
      </w:pPr>
      <w:r>
        <w:t>10.2 Jev question set for one justification</w:t>
      </w:r>
    </w:p>
    <w:p>
      <w:pPr>
        <w:spacing w:after="120"/>
      </w:pPr>
      <w:r>
        <w:rPr>
          <w:b w:val="0"/>
          <w:i w:val="0"/>
        </w:rPr>
        <w:t>State sent: JUSTIFICATION sentence, SEGMENT label and description, ENTRY summary (month value, plan, range, full year, share), FLAGS fired, MARKET NOTES (six note fields plus the plan's rep comment). The sentence-level questions are prefixed with 'Judge only the JUSTIFICATION line' so flag text cannot leak into the answer.</w:t>
      </w:r>
    </w:p>
    <w:p>
      <w:pPr>
        <w:spacing w:after="40"/>
      </w:pPr>
      <w:r>
        <w:rPr>
          <w:b/>
          <w:sz w:val="18"/>
        </w:rPr>
        <w:t>Table 11. Justification questions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814"/>
          </w:tcPr>
          <w:p>
            <w:r/>
            <w:r>
              <w:rPr>
                <w:b/>
                <w:sz w:val="16"/>
              </w:rPr>
              <w:t>Key</w:t>
            </w:r>
          </w:p>
        </w:tc>
        <w:tc>
          <w:tcPr>
            <w:tcW w:type="dxa" w:w="1247"/>
          </w:tcPr>
          <w:p>
            <w:r/>
            <w:r>
              <w:rPr>
                <w:b/>
                <w:sz w:val="16"/>
              </w:rPr>
              <w:t>Type</w:t>
            </w:r>
          </w:p>
        </w:tc>
        <w:tc>
          <w:tcPr>
            <w:tcW w:type="dxa" w:w="4195"/>
          </w:tcPr>
          <w:p>
            <w:r/>
            <w:r>
              <w:rPr>
                <w:b/>
                <w:sz w:val="16"/>
              </w:rPr>
              <w:t>Options / levels</w:t>
            </w:r>
          </w:p>
        </w:tc>
        <w:tc>
          <w:tcPr>
            <w:tcW w:type="dxa" w:w="2381"/>
          </w:tcPr>
          <w:p>
            <w:r/>
            <w:r>
              <w:rPr>
                <w:b/>
                <w:sz w:val="16"/>
              </w:rPr>
              <w:t>Used for</w:t>
            </w:r>
          </w:p>
        </w:tc>
      </w:tr>
      <w:tr>
        <w:tc>
          <w:tcPr>
            <w:tcW w:type="dxa" w:w="1814"/>
          </w:tcPr>
          <w:p>
            <w:r/>
            <w:r>
              <w:rPr>
                <w:b w:val="0"/>
                <w:i w:val="0"/>
                <w:sz w:val="16"/>
              </w:rPr>
              <w:t>driver</w:t>
            </w:r>
          </w:p>
        </w:tc>
        <w:tc>
          <w:tcPr>
            <w:tcW w:type="dxa" w:w="1247"/>
          </w:tcPr>
          <w:p>
            <w:r/>
            <w:r>
              <w:rPr>
                <w:b w:val="0"/>
                <w:i w:val="0"/>
                <w:sz w:val="16"/>
              </w:rPr>
              <w:t>Choice</w:t>
            </w:r>
          </w:p>
        </w:tc>
        <w:tc>
          <w:tcPr>
            <w:tcW w:type="dxa" w:w="4195"/>
          </w:tcPr>
          <w:p>
            <w:r/>
            <w:r>
              <w:rPr>
                <w:b w:val="0"/>
                <w:i w:val="0"/>
                <w:sz w:val="16"/>
              </w:rPr>
              <w:t>pest_disease, competitor_move, launch_phaseout, price, area_change, weather_water, customer_win_loss, other</w:t>
            </w:r>
          </w:p>
        </w:tc>
        <w:tc>
          <w:tcPr>
            <w:tcW w:type="dxa" w:w="2381"/>
          </w:tcPr>
          <w:p>
            <w:r/>
            <w:r>
              <w:rPr>
                <w:b w:val="0"/>
                <w:i w:val="0"/>
                <w:sz w:val="16"/>
              </w:rPr>
              <w:t>Claim driver; decides the verification signal</w:t>
            </w:r>
          </w:p>
        </w:tc>
      </w:tr>
      <w:tr>
        <w:tc>
          <w:tcPr>
            <w:tcW w:type="dxa" w:w="1814"/>
          </w:tcPr>
          <w:p>
            <w:r/>
            <w:r>
              <w:rPr>
                <w:b w:val="0"/>
                <w:i w:val="0"/>
                <w:sz w:val="16"/>
              </w:rPr>
              <w:t>direction</w:t>
            </w:r>
          </w:p>
        </w:tc>
        <w:tc>
          <w:tcPr>
            <w:tcW w:type="dxa" w:w="1247"/>
          </w:tcPr>
          <w:p>
            <w:r/>
            <w:r>
              <w:rPr>
                <w:b w:val="0"/>
                <w:i w:val="0"/>
                <w:sz w:val="16"/>
              </w:rPr>
              <w:t>Choice</w:t>
            </w:r>
          </w:p>
        </w:tc>
        <w:tc>
          <w:tcPr>
            <w:tcW w:type="dxa" w:w="4195"/>
          </w:tcPr>
          <w:p>
            <w:r/>
            <w:r>
              <w:rPr>
                <w:b w:val="0"/>
                <w:i w:val="0"/>
                <w:sz w:val="16"/>
              </w:rPr>
              <w:t>up, down, neutral</w:t>
            </w:r>
          </w:p>
        </w:tc>
        <w:tc>
          <w:tcPr>
            <w:tcW w:type="dxa" w:w="2381"/>
          </w:tcPr>
          <w:p>
            <w:r/>
            <w:r>
              <w:rPr>
                <w:b w:val="0"/>
                <w:i w:val="0"/>
                <w:sz w:val="16"/>
              </w:rPr>
              <w:t>Claim resolution rule</w:t>
            </w:r>
          </w:p>
        </w:tc>
      </w:tr>
      <w:tr>
        <w:tc>
          <w:tcPr>
            <w:tcW w:type="dxa" w:w="1814"/>
          </w:tcPr>
          <w:p>
            <w:r/>
            <w:r>
              <w:rPr>
                <w:b w:val="0"/>
                <w:i w:val="0"/>
                <w:sz w:val="16"/>
              </w:rPr>
              <w:t>magnitude</w:t>
            </w:r>
          </w:p>
        </w:tc>
        <w:tc>
          <w:tcPr>
            <w:tcW w:type="dxa" w:w="1247"/>
          </w:tcPr>
          <w:p>
            <w:r/>
            <w:r>
              <w:rPr>
                <w:b w:val="0"/>
                <w:i w:val="0"/>
                <w:sz w:val="16"/>
              </w:rPr>
              <w:t>Score</w:t>
            </w:r>
          </w:p>
        </w:tc>
        <w:tc>
          <w:tcPr>
            <w:tcW w:type="dxa" w:w="4195"/>
          </w:tcPr>
          <w:p>
            <w:r/>
            <w:r>
              <w:rPr>
                <w:b w:val="0"/>
                <w:i w:val="0"/>
                <w:sz w:val="16"/>
              </w:rPr>
              <w:t>Negligible, Small (&lt;5%), Moderate (5-20%), Large (&gt;20%)</w:t>
            </w:r>
          </w:p>
        </w:tc>
        <w:tc>
          <w:tcPr>
            <w:tcW w:type="dxa" w:w="2381"/>
          </w:tcPr>
          <w:p>
            <w:r/>
            <w:r>
              <w:rPr>
                <w:b w:val="0"/>
                <w:i w:val="0"/>
                <w:sz w:val="16"/>
              </w:rPr>
              <w:t>Claim size</w:t>
            </w:r>
          </w:p>
        </w:tc>
      </w:tr>
      <w:tr>
        <w:tc>
          <w:tcPr>
            <w:tcW w:type="dxa" w:w="1814"/>
          </w:tcPr>
          <w:p>
            <w:r/>
            <w:r>
              <w:rPr>
                <w:b w:val="0"/>
                <w:i w:val="0"/>
                <w:sz w:val="16"/>
              </w:rPr>
              <w:t>competitor</w:t>
            </w:r>
          </w:p>
        </w:tc>
        <w:tc>
          <w:tcPr>
            <w:tcW w:type="dxa" w:w="1247"/>
          </w:tcPr>
          <w:p>
            <w:r/>
            <w:r>
              <w:rPr>
                <w:b w:val="0"/>
                <w:i w:val="0"/>
                <w:sz w:val="16"/>
              </w:rPr>
              <w:t>Choice</w:t>
            </w:r>
          </w:p>
        </w:tc>
        <w:tc>
          <w:tcPr>
            <w:tcW w:type="dxa" w:w="4195"/>
          </w:tcPr>
          <w:p>
            <w:r/>
            <w:r>
              <w:rPr>
                <w:b w:val="0"/>
                <w:i w:val="0"/>
                <w:sz w:val="16"/>
              </w:rPr>
              <w:t>Competitors from MV360 Competitors (Enza Zaden, Limagrain, Nunhems/BASF, Panora Seeds, Rijk Zwaan, Semillas Fito, Sur Seeds) + none</w:t>
            </w:r>
          </w:p>
        </w:tc>
        <w:tc>
          <w:tcPr>
            <w:tcW w:type="dxa" w:w="2381"/>
          </w:tcPr>
          <w:p>
            <w:r/>
            <w:r>
              <w:rPr>
                <w:b w:val="0"/>
                <w:i w:val="0"/>
                <w:sz w:val="16"/>
              </w:rPr>
              <w:t>Tag; RTB</w:t>
            </w:r>
          </w:p>
        </w:tc>
      </w:tr>
      <w:tr>
        <w:tc>
          <w:tcPr>
            <w:tcW w:type="dxa" w:w="1814"/>
          </w:tcPr>
          <w:p>
            <w:r/>
            <w:r>
              <w:rPr>
                <w:b w:val="0"/>
                <w:i w:val="0"/>
                <w:sz w:val="16"/>
              </w:rPr>
              <w:t>variety</w:t>
            </w:r>
          </w:p>
        </w:tc>
        <w:tc>
          <w:tcPr>
            <w:tcW w:type="dxa" w:w="1247"/>
          </w:tcPr>
          <w:p>
            <w:r/>
            <w:r>
              <w:rPr>
                <w:b w:val="0"/>
                <w:i w:val="0"/>
                <w:sz w:val="16"/>
              </w:rPr>
              <w:t>Choice</w:t>
            </w:r>
          </w:p>
        </w:tc>
        <w:tc>
          <w:tcPr>
            <w:tcW w:type="dxa" w:w="4195"/>
          </w:tcPr>
          <w:p>
            <w:r/>
            <w:r>
              <w:rPr>
                <w:b w:val="0"/>
                <w:i w:val="0"/>
                <w:sz w:val="16"/>
              </w:rPr>
              <w:t>Syngenta varieties from Grower Potential (Hokkaido, Saitama, Leontes, Bokken, Kaamos, Akame, Norris, Carlomagno) + none</w:t>
            </w:r>
          </w:p>
        </w:tc>
        <w:tc>
          <w:tcPr>
            <w:tcW w:type="dxa" w:w="2381"/>
          </w:tcPr>
          <w:p>
            <w:r/>
            <w:r>
              <w:rPr>
                <w:b w:val="0"/>
                <w:i w:val="0"/>
                <w:sz w:val="16"/>
              </w:rPr>
              <w:t>Tag; RTB</w:t>
            </w:r>
          </w:p>
        </w:tc>
      </w:tr>
      <w:tr>
        <w:tc>
          <w:tcPr>
            <w:tcW w:type="dxa" w:w="1814"/>
          </w:tcPr>
          <w:p>
            <w:r/>
            <w:r>
              <w:rPr>
                <w:b w:val="0"/>
                <w:i w:val="0"/>
                <w:sz w:val="16"/>
              </w:rPr>
              <w:t>evidence_source</w:t>
            </w:r>
          </w:p>
        </w:tc>
        <w:tc>
          <w:tcPr>
            <w:tcW w:type="dxa" w:w="1247"/>
          </w:tcPr>
          <w:p>
            <w:r/>
            <w:r>
              <w:rPr>
                <w:b w:val="0"/>
                <w:i w:val="0"/>
                <w:sz w:val="16"/>
              </w:rPr>
              <w:t>Choice</w:t>
            </w:r>
          </w:p>
        </w:tc>
        <w:tc>
          <w:tcPr>
            <w:tcW w:type="dxa" w:w="4195"/>
          </w:tcPr>
          <w:p>
            <w:r/>
            <w:r>
              <w:rPr>
                <w:b w:val="0"/>
                <w:i w:val="0"/>
                <w:sz w:val="16"/>
              </w:rPr>
              <w:t>own_customer_contact, distributor, field_trial, public_statistics, market_notes, none</w:t>
            </w:r>
          </w:p>
        </w:tc>
        <w:tc>
          <w:tcPr>
            <w:tcW w:type="dxa" w:w="2381"/>
          </w:tcPr>
          <w:p>
            <w:r/>
            <w:r>
              <w:rPr>
                <w:b w:val="0"/>
                <w:i w:val="0"/>
                <w:sz w:val="16"/>
              </w:rPr>
              <w:t>Tag</w:t>
            </w:r>
          </w:p>
        </w:tc>
      </w:tr>
      <w:tr>
        <w:tc>
          <w:tcPr>
            <w:tcW w:type="dxa" w:w="1814"/>
          </w:tcPr>
          <w:p>
            <w:r/>
            <w:r>
              <w:rPr>
                <w:b w:val="0"/>
                <w:i w:val="0"/>
                <w:sz w:val="16"/>
              </w:rPr>
              <w:t>verifiable</w:t>
            </w:r>
          </w:p>
        </w:tc>
        <w:tc>
          <w:tcPr>
            <w:tcW w:type="dxa" w:w="1247"/>
          </w:tcPr>
          <w:p>
            <w:r/>
            <w:r>
              <w:rPr>
                <w:b w:val="0"/>
                <w:i w:val="0"/>
                <w:sz w:val="16"/>
              </w:rPr>
              <w:t>Noul</w:t>
            </w:r>
          </w:p>
        </w:tc>
        <w:tc>
          <w:tcPr>
            <w:tcW w:type="dxa" w:w="4195"/>
          </w:tcPr>
          <w:p>
            <w:r/>
            <w:r>
              <w:rPr>
                <w:b w:val="0"/>
                <w:i w:val="0"/>
                <w:sz w:val="16"/>
              </w:rPr>
              <w:t>true/false</w:t>
            </w:r>
          </w:p>
        </w:tc>
        <w:tc>
          <w:tcPr>
            <w:tcW w:type="dxa" w:w="2381"/>
          </w:tcPr>
          <w:p>
            <w:r/>
            <w:r>
              <w:rPr>
                <w:b w:val="0"/>
                <w:i w:val="0"/>
                <w:sz w:val="16"/>
              </w:rPr>
              <w:t>Can later data confirm it?</w:t>
            </w:r>
          </w:p>
        </w:tc>
      </w:tr>
      <w:tr>
        <w:tc>
          <w:tcPr>
            <w:tcW w:type="dxa" w:w="1814"/>
          </w:tcPr>
          <w:p>
            <w:r/>
            <w:r>
              <w:rPr>
                <w:b w:val="0"/>
                <w:i w:val="0"/>
                <w:sz w:val="16"/>
              </w:rPr>
              <w:t>consistent_with_market_notes</w:t>
            </w:r>
          </w:p>
        </w:tc>
        <w:tc>
          <w:tcPr>
            <w:tcW w:type="dxa" w:w="1247"/>
          </w:tcPr>
          <w:p>
            <w:r/>
            <w:r>
              <w:rPr>
                <w:b w:val="0"/>
                <w:i w:val="0"/>
                <w:sz w:val="16"/>
              </w:rPr>
              <w:t>Noul</w:t>
            </w:r>
          </w:p>
        </w:tc>
        <w:tc>
          <w:tcPr>
            <w:tcW w:type="dxa" w:w="4195"/>
          </w:tcPr>
          <w:p>
            <w:r/>
            <w:r>
              <w:rPr>
                <w:b w:val="0"/>
                <w:i w:val="0"/>
                <w:sz w:val="16"/>
              </w:rPr>
              <w:t>true/false</w:t>
            </w:r>
          </w:p>
        </w:tc>
        <w:tc>
          <w:tcPr>
            <w:tcW w:type="dxa" w:w="2381"/>
          </w:tcPr>
          <w:p>
            <w:r/>
            <w:r>
              <w:rPr>
                <w:b w:val="0"/>
                <w:i w:val="0"/>
                <w:sz w:val="16"/>
              </w:rPr>
              <w:t>Fits the market notes?</w:t>
            </w:r>
          </w:p>
        </w:tc>
      </w:tr>
      <w:tr>
        <w:tc>
          <w:tcPr>
            <w:tcW w:type="dxa" w:w="1814"/>
          </w:tcPr>
          <w:p>
            <w:r/>
            <w:r>
              <w:rPr>
                <w:b w:val="0"/>
                <w:i w:val="0"/>
                <w:sz w:val="16"/>
              </w:rPr>
              <w:t>specificity</w:t>
            </w:r>
          </w:p>
        </w:tc>
        <w:tc>
          <w:tcPr>
            <w:tcW w:type="dxa" w:w="1247"/>
          </w:tcPr>
          <w:p>
            <w:r/>
            <w:r>
              <w:rPr>
                <w:b w:val="0"/>
                <w:i w:val="0"/>
                <w:sz w:val="16"/>
              </w:rPr>
              <w:t>Score</w:t>
            </w:r>
          </w:p>
        </w:tc>
        <w:tc>
          <w:tcPr>
            <w:tcW w:type="dxa" w:w="4195"/>
          </w:tcPr>
          <w:p>
            <w:r/>
            <w:r>
              <w:rPr>
                <w:b w:val="0"/>
                <w:i w:val="0"/>
                <w:sz w:val="16"/>
              </w:rPr>
              <w:t>Vague, Some detail, Specific, Specific and quantified</w:t>
            </w:r>
          </w:p>
        </w:tc>
        <w:tc>
          <w:tcPr>
            <w:tcW w:type="dxa" w:w="2381"/>
          </w:tcPr>
          <w:p>
            <w:r/>
            <w:r>
              <w:rPr>
                <w:b w:val="0"/>
                <w:i w:val="0"/>
                <w:sz w:val="16"/>
              </w:rPr>
              <w:t>Vague (&lt; 1.5) sends the entry to consensus</w:t>
            </w:r>
          </w:p>
        </w:tc>
      </w:tr>
      <w:tr>
        <w:tc>
          <w:tcPr>
            <w:tcW w:type="dxa" w:w="1814"/>
          </w:tcPr>
          <w:p>
            <w:r/>
            <w:r>
              <w:rPr>
                <w:b w:val="0"/>
                <w:i w:val="0"/>
                <w:sz w:val="16"/>
              </w:rPr>
              <w:t>addresses_flags</w:t>
            </w:r>
          </w:p>
        </w:tc>
        <w:tc>
          <w:tcPr>
            <w:tcW w:type="dxa" w:w="1247"/>
          </w:tcPr>
          <w:p>
            <w:r/>
            <w:r>
              <w:rPr>
                <w:b w:val="0"/>
                <w:i w:val="0"/>
                <w:sz w:val="16"/>
              </w:rPr>
              <w:t>Noul (only when flags fired)</w:t>
            </w:r>
          </w:p>
        </w:tc>
        <w:tc>
          <w:tcPr>
            <w:tcW w:type="dxa" w:w="4195"/>
          </w:tcPr>
          <w:p>
            <w:r/>
            <w:r>
              <w:rPr>
                <w:b w:val="0"/>
                <w:i w:val="0"/>
                <w:sz w:val="16"/>
              </w:rPr>
              <w:t>true/false</w:t>
            </w:r>
          </w:p>
        </w:tc>
        <w:tc>
          <w:tcPr>
            <w:tcW w:type="dxa" w:w="2381"/>
          </w:tcPr>
          <w:p>
            <w:r/>
            <w:r>
              <w:rPr>
                <w:b w:val="0"/>
                <w:i w:val="0"/>
                <w:sz w:val="16"/>
              </w:rPr>
              <w:t>&lt; 0.5 prompts the rep and sends to consensus</w:t>
            </w:r>
          </w:p>
        </w:tc>
      </w:tr>
    </w:tbl>
    <w:p>
      <w:pPr>
        <w:spacing w:after="40"/>
      </w:pPr>
    </w:p>
    <w:p>
      <w:pPr>
        <w:pStyle w:val="Heading2"/>
      </w:pPr>
      <w:r>
        <w:t>10.3 Confidence gating and fallback</w:t>
      </w:r>
    </w:p>
    <w:p>
      <w:pPr>
        <w:pStyle w:val="ListBullet"/>
        <w:spacing w:after="40"/>
      </w:pPr>
      <w:r>
        <w:rPr>
          <w:b w:val="0"/>
          <w:i w:val="0"/>
        </w:rPr>
        <w:t>For driver, direction, competitor and variety, confidence below 0.8 triggers a Gemini extraction constrained to the same option lists (JSON schema enum, thinking level LOW, 5 s timeout).</w:t>
      </w:r>
    </w:p>
    <w:p>
      <w:pPr>
        <w:pStyle w:val="ListBullet"/>
        <w:spacing w:after="40"/>
      </w:pPr>
      <w:r>
        <w:rPr>
          <w:b w:val="0"/>
          <w:i w:val="0"/>
        </w:rPr>
        <w:t>Scores (size and specificity) are gated too: confidence below 0.4 (the winning level's probability on a four-level scale) triggers the same Gemini extraction over the level labels.</w:t>
      </w:r>
    </w:p>
    <w:p>
      <w:pPr>
        <w:pStyle w:val="ListBullet"/>
        <w:spacing w:after="40"/>
      </w:pPr>
      <w:r>
        <w:rPr>
          <w:b w:val="0"/>
          <w:i w:val="0"/>
        </w:rPr>
        <w:t>If Gemini fails or times out, Jev's answer is kept and the field is reported as low-confidence to the rep.</w:t>
      </w:r>
    </w:p>
    <w:p>
      <w:pPr>
        <w:pStyle w:val="ListBullet"/>
        <w:spacing w:after="40"/>
      </w:pPr>
      <w:r>
        <w:rPr>
          <w:b w:val="0"/>
          <w:i w:val="0"/>
        </w:rPr>
        <w:t>Yes/no answers between 40% and 60% are shown as 'Uncertain' rather than Yes or No.</w:t>
      </w:r>
    </w:p>
    <w:p>
      <w:pPr>
        <w:pStyle w:val="ListBullet"/>
        <w:spacing w:after="40"/>
      </w:pPr>
      <w:r>
        <w:rPr>
          <w:b w:val="0"/>
          <w:i w:val="0"/>
        </w:rPr>
        <w:t>The provider string stored with every claim records who decided: 'jev', 'jev + gemini fallback', 'jev (recorded)' or 'offline decider'.</w:t>
      </w:r>
    </w:p>
    <w:p>
      <w:pPr>
        <w:pStyle w:val="ListBullet"/>
        <w:spacing w:after="40"/>
      </w:pPr>
      <w:r>
        <w:rPr>
          <w:b w:val="0"/>
          <w:i w:val="0"/>
        </w:rPr>
        <w:t>Finished claims are cached by state, so Structure then Submit with the same text costs one Jev call.</w:t>
      </w:r>
    </w:p>
    <w:p>
      <w:pPr>
        <w:pStyle w:val="Heading2"/>
      </w:pPr>
      <w:r>
        <w:t>10.4 Other Jev decisions</w:t>
      </w:r>
    </w:p>
    <w:p>
      <w:pPr>
        <w:pStyle w:val="ListBullet"/>
        <w:spacing w:after="40"/>
      </w:pPr>
      <w:r>
        <w:rPr>
          <w:b/>
          <w:i w:val="0"/>
        </w:rPr>
        <w:t>Claim verification</w:t>
      </w:r>
      <w:r>
        <w:rPr>
          <w:b w:val="0"/>
          <w:i w:val="0"/>
        </w:rPr>
        <w:t xml:space="preserve"> (Advance month): Noul 'Given the EVIDENCE, did the CLAIM turn out to be true?' with evidence text 'Sep actual sales X KS vs plan Y KS (+z%). Rep entered V KS (range L-H).'</w:t>
      </w:r>
    </w:p>
    <w:p>
      <w:pPr>
        <w:pStyle w:val="ListBullet"/>
        <w:spacing w:after="40"/>
      </w:pPr>
      <w:r>
        <w:rPr>
          <w:b/>
          <w:i w:val="0"/>
        </w:rPr>
        <w:t>Triage</w:t>
      </w:r>
      <w:r>
        <w:rPr>
          <w:b w:val="0"/>
          <w:i w:val="0"/>
        </w:rPr>
        <w:t xml:space="preserve"> (Consensus): Choice approve / discuss / challenge over the entry, justification and concerns; stored on the entry.</w:t>
      </w:r>
    </w:p>
    <w:p>
      <w:pPr>
        <w:pStyle w:val="Heading2"/>
      </w:pPr>
      <w:r>
        <w:t>10.5 Claim resolution rule</w:t>
      </w:r>
    </w:p>
    <w:p>
      <w:pPr>
        <w:spacing w:after="40"/>
      </w:pPr>
      <w:r>
        <w:rPr>
          <w:b/>
          <w:sz w:val="18"/>
        </w:rPr>
        <w:t>Table 12. Resolution</w:t>
      </w:r>
    </w:p>
    <w:tbl>
      <w:tblPr>
        <w:tblStyle w:val="LightGrid-Accent1"/>
        <w:tblW w:type="auto" w:w="0"/>
        <w:jc w:val="center"/>
        <w:tblLook w:firstColumn="1" w:firstRow="1" w:lastColumn="0" w:lastRow="0" w:noHBand="0" w:noVBand="1" w:val="04A0"/>
      </w:tblPr>
      <w:tblGrid>
        <w:gridCol w:w="3213"/>
        <w:gridCol w:w="3213"/>
        <w:gridCol w:w="3213"/>
      </w:tblGrid>
      <w:tr>
        <w:tc>
          <w:tcPr>
            <w:tcW w:type="dxa" w:w="1701"/>
          </w:tcPr>
          <w:p>
            <w:r/>
            <w:r>
              <w:rPr>
                <w:b/>
                <w:sz w:val="17"/>
              </w:rPr>
              <w:t>Claim direction</w:t>
            </w:r>
          </w:p>
        </w:tc>
        <w:tc>
          <w:tcPr>
            <w:tcW w:type="dxa" w:w="3402"/>
          </w:tcPr>
          <w:p>
            <w:r/>
            <w:r>
              <w:rPr>
                <w:b/>
                <w:sz w:val="17"/>
              </w:rPr>
              <w:t>Numeric support when</w:t>
            </w:r>
          </w:p>
        </w:tc>
        <w:tc>
          <w:tcPr>
            <w:tcW w:type="dxa" w:w="4535"/>
          </w:tcPr>
          <w:p>
            <w:r/>
            <w:r>
              <w:rPr>
                <w:b/>
                <w:sz w:val="17"/>
              </w:rPr>
              <w:t>Resolution</w:t>
            </w:r>
          </w:p>
        </w:tc>
      </w:tr>
      <w:tr>
        <w:tc>
          <w:tcPr>
            <w:tcW w:type="dxa" w:w="1701"/>
          </w:tcPr>
          <w:p>
            <w:r/>
            <w:r>
              <w:rPr>
                <w:b w:val="0"/>
                <w:i w:val="0"/>
                <w:sz w:val="17"/>
              </w:rPr>
              <w:t>up</w:t>
            </w:r>
          </w:p>
        </w:tc>
        <w:tc>
          <w:tcPr>
            <w:tcW w:type="dxa" w:w="3402"/>
          </w:tcPr>
          <w:p>
            <w:r/>
            <w:r>
              <w:rPr>
                <w:b w:val="0"/>
                <w:i w:val="0"/>
                <w:sz w:val="17"/>
              </w:rPr>
              <w:t>actual &gt;= plan for the month</w:t>
            </w:r>
          </w:p>
        </w:tc>
        <w:tc>
          <w:tcPr>
            <w:tcW w:type="dxa" w:w="4535"/>
          </w:tcPr>
          <w:p>
            <w:r/>
            <w:r>
              <w:rPr>
                <w:b w:val="0"/>
                <w:i w:val="0"/>
                <w:sz w:val="17"/>
              </w:rPr>
              <w:t>confirmed if numeric support and Jev p &gt;= 0.5</w:t>
            </w:r>
          </w:p>
        </w:tc>
      </w:tr>
      <w:tr>
        <w:tc>
          <w:tcPr>
            <w:tcW w:type="dxa" w:w="1701"/>
          </w:tcPr>
          <w:p>
            <w:r/>
            <w:r>
              <w:rPr>
                <w:b w:val="0"/>
                <w:i w:val="0"/>
                <w:sz w:val="17"/>
              </w:rPr>
              <w:t>down</w:t>
            </w:r>
          </w:p>
        </w:tc>
        <w:tc>
          <w:tcPr>
            <w:tcW w:type="dxa" w:w="3402"/>
          </w:tcPr>
          <w:p>
            <w:r/>
            <w:r>
              <w:rPr>
                <w:b w:val="0"/>
                <w:i w:val="0"/>
                <w:sz w:val="17"/>
              </w:rPr>
              <w:t>actual &lt; plan</w:t>
            </w:r>
          </w:p>
        </w:tc>
        <w:tc>
          <w:tcPr>
            <w:tcW w:type="dxa" w:w="4535"/>
          </w:tcPr>
          <w:p>
            <w:r/>
            <w:r>
              <w:rPr>
                <w:b w:val="0"/>
                <w:i w:val="0"/>
                <w:sz w:val="17"/>
              </w:rPr>
              <w:t>contradicted if no numeric support and Jev p &lt; 0.5</w:t>
            </w:r>
          </w:p>
        </w:tc>
      </w:tr>
      <w:tr>
        <w:tc>
          <w:tcPr>
            <w:tcW w:type="dxa" w:w="1701"/>
          </w:tcPr>
          <w:p>
            <w:r/>
            <w:r>
              <w:rPr>
                <w:b w:val="0"/>
                <w:i w:val="0"/>
                <w:sz w:val="17"/>
              </w:rPr>
              <w:t>neutral</w:t>
            </w:r>
          </w:p>
        </w:tc>
        <w:tc>
          <w:tcPr>
            <w:tcW w:type="dxa" w:w="3402"/>
          </w:tcPr>
          <w:p>
            <w:r/>
            <w:r>
              <w:rPr>
                <w:b w:val="0"/>
                <w:i w:val="0"/>
                <w:sz w:val="17"/>
              </w:rPr>
              <w:t>|actual - plan| / plan &lt;= 5%</w:t>
            </w:r>
          </w:p>
        </w:tc>
        <w:tc>
          <w:tcPr>
            <w:tcW w:type="dxa" w:w="4535"/>
          </w:tcPr>
          <w:p>
            <w:r/>
            <w:r>
              <w:rPr>
                <w:b w:val="0"/>
                <w:i w:val="0"/>
                <w:sz w:val="17"/>
              </w:rPr>
              <w:t>inconclusive when they disagree</w:t>
            </w:r>
          </w:p>
        </w:tc>
      </w:tr>
    </w:tbl>
    <w:p>
      <w:pPr>
        <w:spacing w:after="40"/>
      </w:pPr>
    </w:p>
    <w:p>
      <w:pPr>
        <w:spacing w:after="120"/>
      </w:pPr>
      <w:r>
        <w:rPr>
          <w:b w:val="0"/>
          <w:i w:val="0"/>
        </w:rPr>
        <w:t>Signal recorded per driver: competitor_move -&gt; competitor_share; area_change, pest_disease, weather_water -&gt; market_hectares; others -&gt; next_month_actuals. In this demo every signal is checked against monthly actuals because the sample has no monthly competitor or hectare series.</w:t>
      </w:r>
    </w:p>
    <w:p>
      <w:pPr>
        <w:pStyle w:val="Heading2"/>
      </w:pPr>
      <w:r>
        <w:t>10.6 Gemini uses</w:t>
      </w:r>
    </w:p>
    <w:p>
      <w:pPr>
        <w:pStyle w:val="ListBullet"/>
        <w:spacing w:after="40"/>
      </w:pPr>
      <w:r>
        <w:rPr>
          <w:b w:val="0"/>
          <w:i w:val="0"/>
        </w:rPr>
        <w:t>Low-confidence field extraction (above).</w:t>
      </w:r>
    </w:p>
    <w:p>
      <w:pPr>
        <w:pStyle w:val="ListBullet"/>
        <w:spacing w:after="40"/>
      </w:pPr>
      <w:r>
        <w:rPr>
          <w:b w:val="0"/>
          <w:i w:val="0"/>
        </w:rPr>
        <w:t>Claim summary rewrite after submit (background task, never blocks the rep).</w:t>
      </w:r>
    </w:p>
    <w:p>
      <w:pPr>
        <w:pStyle w:val="ListBullet"/>
        <w:spacing w:after="40"/>
      </w:pPr>
      <w:r>
        <w:rPr>
          <w:b w:val="0"/>
          <w:i w:val="0"/>
        </w:rPr>
        <w:t>Reasons-to-believe narrative from confirmed claims, market facts, competitor trends and the market-dynamics note; prompt forbids new numbers; template fallback.</w:t>
      </w:r>
    </w:p>
    <w:p>
      <w:pPr>
        <w:pStyle w:val="Heading2"/>
      </w:pPr>
      <w:r>
        <w:t>10.7 Operating modes</w:t>
      </w:r>
    </w:p>
    <w:p>
      <w:pPr>
        <w:spacing w:after="40"/>
      </w:pPr>
      <w:r>
        <w:rPr>
          <w:b/>
          <w:sz w:val="18"/>
        </w:rPr>
        <w:t>Table 13. AI modes</w:t>
      </w:r>
    </w:p>
    <w:tbl>
      <w:tblPr>
        <w:tblStyle w:val="LightGrid-Accent1"/>
        <w:tblW w:type="auto" w:w="0"/>
        <w:jc w:val="center"/>
        <w:tblLook w:firstColumn="1" w:firstRow="1" w:lastColumn="0" w:lastRow="0" w:noHBand="0" w:noVBand="1" w:val="04A0"/>
      </w:tblPr>
      <w:tblGrid>
        <w:gridCol w:w="4819"/>
        <w:gridCol w:w="4819"/>
      </w:tblGrid>
      <w:tr>
        <w:tc>
          <w:tcPr>
            <w:tcW w:type="dxa" w:w="1701"/>
          </w:tcPr>
          <w:p>
            <w:r/>
            <w:r>
              <w:rPr>
                <w:b/>
                <w:sz w:val="17"/>
              </w:rPr>
              <w:t>AI_MODE</w:t>
            </w:r>
          </w:p>
        </w:tc>
        <w:tc>
          <w:tcPr>
            <w:tcW w:type="dxa" w:w="7937"/>
          </w:tcPr>
          <w:p>
            <w:r/>
            <w:r>
              <w:rPr>
                <w:b/>
                <w:sz w:val="17"/>
              </w:rPr>
              <w:t>Behaviour</w:t>
            </w:r>
          </w:p>
        </w:tc>
      </w:tr>
      <w:tr>
        <w:tc>
          <w:tcPr>
            <w:tcW w:type="dxa" w:w="1701"/>
          </w:tcPr>
          <w:p>
            <w:r/>
            <w:r>
              <w:rPr>
                <w:b w:val="0"/>
                <w:i w:val="0"/>
                <w:sz w:val="17"/>
              </w:rPr>
              <w:t>live</w:t>
            </w:r>
          </w:p>
        </w:tc>
        <w:tc>
          <w:tcPr>
            <w:tcW w:type="dxa" w:w="7937"/>
          </w:tcPr>
          <w:p>
            <w:r/>
            <w:r>
              <w:rPr>
                <w:b w:val="0"/>
                <w:i w:val="0"/>
                <w:sz w:val="17"/>
              </w:rPr>
              <w:t>Call Jev; on error fall back to recorded fixture, then offline decider</w:t>
            </w:r>
          </w:p>
        </w:tc>
      </w:tr>
      <w:tr>
        <w:tc>
          <w:tcPr>
            <w:tcW w:type="dxa" w:w="1701"/>
          </w:tcPr>
          <w:p>
            <w:r/>
            <w:r>
              <w:rPr>
                <w:b w:val="0"/>
                <w:i w:val="0"/>
                <w:sz w:val="17"/>
              </w:rPr>
              <w:t>record</w:t>
            </w:r>
          </w:p>
        </w:tc>
        <w:tc>
          <w:tcPr>
            <w:tcW w:type="dxa" w:w="7937"/>
          </w:tcPr>
          <w:p>
            <w:r/>
            <w:r>
              <w:rPr>
                <w:b w:val="0"/>
                <w:i w:val="0"/>
                <w:sz w:val="17"/>
              </w:rPr>
              <w:t>Live, and save every Jev response to tests/fixtures/ai/ for offline demos</w:t>
            </w:r>
          </w:p>
        </w:tc>
      </w:tr>
      <w:tr>
        <w:tc>
          <w:tcPr>
            <w:tcW w:type="dxa" w:w="1701"/>
          </w:tcPr>
          <w:p>
            <w:r/>
            <w:r>
              <w:rPr>
                <w:b w:val="0"/>
                <w:i w:val="0"/>
                <w:sz w:val="17"/>
              </w:rPr>
              <w:t>replay</w:t>
            </w:r>
          </w:p>
        </w:tc>
        <w:tc>
          <w:tcPr>
            <w:tcW w:type="dxa" w:w="7937"/>
          </w:tcPr>
          <w:p>
            <w:r/>
            <w:r>
              <w:rPr>
                <w:b w:val="0"/>
                <w:i w:val="0"/>
                <w:sz w:val="17"/>
              </w:rPr>
              <w:t>Recorded fixture if present, else deterministic offline decider</w:t>
            </w:r>
          </w:p>
        </w:tc>
      </w:tr>
      <w:tr>
        <w:tc>
          <w:tcPr>
            <w:tcW w:type="dxa" w:w="1701"/>
          </w:tcPr>
          <w:p>
            <w:r/>
            <w:r>
              <w:rPr>
                <w:b w:val="0"/>
                <w:i w:val="0"/>
                <w:sz w:val="17"/>
              </w:rPr>
              <w:t>auto</w:t>
            </w:r>
          </w:p>
        </w:tc>
        <w:tc>
          <w:tcPr>
            <w:tcW w:type="dxa" w:w="7937"/>
          </w:tcPr>
          <w:p>
            <w:r/>
            <w:r>
              <w:rPr>
                <w:b w:val="0"/>
                <w:i w:val="0"/>
                <w:sz w:val="17"/>
              </w:rPr>
              <w:t>live when JEV_API_KEY is set, otherwise replay</w:t>
            </w:r>
          </w:p>
        </w:tc>
      </w:tr>
    </w:tbl>
    <w:p>
      <w:pPr>
        <w:spacing w:after="40"/>
      </w:pPr>
    </w:p>
    <w:p>
      <w:r>
        <w:br w:type="page"/>
      </w:r>
    </w:p>
    <w:p>
      <w:pPr>
        <w:pStyle w:val="Heading1"/>
      </w:pPr>
      <w:r>
        <w:t>11. Source spreadsheets</w:t>
      </w:r>
    </w:p>
    <w:p>
      <w:pPr>
        <w:spacing w:after="40"/>
      </w:pPr>
      <w:r>
        <w:rPr>
          <w:b/>
          <w:sz w:val="18"/>
        </w:rPr>
        <w:t>Table 14. Workbooks and tabs</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948"/>
          </w:tcPr>
          <w:p>
            <w:r/>
            <w:r>
              <w:rPr>
                <w:b/>
                <w:sz w:val="16"/>
              </w:rPr>
              <w:t>Workbook / tab</w:t>
            </w:r>
          </w:p>
        </w:tc>
        <w:tc>
          <w:tcPr>
            <w:tcW w:type="dxa" w:w="1247"/>
          </w:tcPr>
          <w:p>
            <w:r/>
            <w:r>
              <w:rPr>
                <w:b/>
                <w:sz w:val="16"/>
              </w:rPr>
              <w:t>Rows</w:t>
            </w:r>
          </w:p>
        </w:tc>
        <w:tc>
          <w:tcPr>
            <w:tcW w:type="dxa" w:w="2381"/>
          </w:tcPr>
          <w:p>
            <w:r/>
            <w:r>
              <w:rPr>
                <w:b/>
                <w:sz w:val="16"/>
              </w:rPr>
              <w:t>Origin</w:t>
            </w:r>
          </w:p>
        </w:tc>
        <w:tc>
          <w:tcPr>
            <w:tcW w:type="dxa" w:w="3061"/>
          </w:tcPr>
          <w:p>
            <w:r/>
            <w:r>
              <w:rPr>
                <w:b/>
                <w:sz w:val="16"/>
              </w:rPr>
              <w:t>Role in the app</w:t>
            </w:r>
          </w:p>
        </w:tc>
      </w:tr>
      <w:tr>
        <w:tc>
          <w:tcPr>
            <w:tcW w:type="dxa" w:w="2948"/>
          </w:tcPr>
          <w:p>
            <w:r/>
            <w:r>
              <w:rPr>
                <w:b w:val="0"/>
                <w:i w:val="0"/>
                <w:sz w:val="16"/>
              </w:rPr>
              <w:t>MV360 Market Spain Sample / Sheet1</w:t>
            </w:r>
          </w:p>
        </w:tc>
        <w:tc>
          <w:tcPr>
            <w:tcW w:type="dxa" w:w="1247"/>
          </w:tcPr>
          <w:p>
            <w:r/>
            <w:r>
              <w:rPr>
                <w:b w:val="0"/>
                <w:i w:val="0"/>
                <w:sz w:val="16"/>
              </w:rPr>
              <w:t>3,553</w:t>
            </w:r>
          </w:p>
        </w:tc>
        <w:tc>
          <w:tcPr>
            <w:tcW w:type="dxa" w:w="2381"/>
          </w:tcPr>
          <w:p>
            <w:r/>
            <w:r>
              <w:rPr>
                <w:b w:val="0"/>
                <w:i w:val="0"/>
                <w:sz w:val="16"/>
              </w:rPr>
              <w:t>SharePoint list i-MAPS MAPSHistData</w:t>
            </w:r>
          </w:p>
        </w:tc>
        <w:tc>
          <w:tcPr>
            <w:tcW w:type="dxa" w:w="3061"/>
          </w:tcPr>
          <w:p>
            <w:r/>
            <w:r>
              <w:rPr>
                <w:b w:val="0"/>
                <w:i w:val="0"/>
                <w:sz w:val="16"/>
              </w:rPr>
              <w:t>Market size, area, density, prices, qualitative market notes</w:t>
            </w:r>
          </w:p>
        </w:tc>
      </w:tr>
      <w:tr>
        <w:tc>
          <w:tcPr>
            <w:tcW w:type="dxa" w:w="2948"/>
          </w:tcPr>
          <w:p>
            <w:r/>
            <w:r>
              <w:rPr>
                <w:b w:val="0"/>
                <w:i w:val="0"/>
                <w:sz w:val="16"/>
              </w:rPr>
              <w:t>MV360 Sales Spain Sample / Sheet1</w:t>
            </w:r>
          </w:p>
        </w:tc>
        <w:tc>
          <w:tcPr>
            <w:tcW w:type="dxa" w:w="1247"/>
          </w:tcPr>
          <w:p>
            <w:r/>
            <w:r>
              <w:rPr>
                <w:b w:val="0"/>
                <w:i w:val="0"/>
                <w:sz w:val="16"/>
              </w:rPr>
              <w:t>2,694</w:t>
            </w:r>
          </w:p>
        </w:tc>
        <w:tc>
          <w:tcPr>
            <w:tcW w:type="dxa" w:w="2381"/>
          </w:tcPr>
          <w:p>
            <w:r/>
            <w:r>
              <w:rPr>
                <w:b w:val="0"/>
                <w:i w:val="0"/>
                <w:sz w:val="16"/>
              </w:rPr>
              <w:t>SharePoint list Syngenta5YrsSales</w:t>
            </w:r>
          </w:p>
        </w:tc>
        <w:tc>
          <w:tcPr>
            <w:tcW w:type="dxa" w:w="3061"/>
          </w:tcPr>
          <w:p>
            <w:r/>
            <w:r>
              <w:rPr>
                <w:b w:val="0"/>
                <w:i w:val="0"/>
                <w:sz w:val="16"/>
              </w:rPr>
              <w:t>Syngenta plan and history (quantity, value, launches, rep comments)</w:t>
            </w:r>
          </w:p>
        </w:tc>
      </w:tr>
      <w:tr>
        <w:tc>
          <w:tcPr>
            <w:tcW w:type="dxa" w:w="2948"/>
          </w:tcPr>
          <w:p>
            <w:r/>
            <w:r>
              <w:rPr>
                <w:b w:val="0"/>
                <w:i w:val="0"/>
                <w:sz w:val="16"/>
              </w:rPr>
              <w:t>MV360 Sales Spain Sample (1) / Sheet1</w:t>
            </w:r>
          </w:p>
        </w:tc>
        <w:tc>
          <w:tcPr>
            <w:tcW w:type="dxa" w:w="1247"/>
          </w:tcPr>
          <w:p>
            <w:r/>
            <w:r>
              <w:rPr>
                <w:b w:val="0"/>
                <w:i w:val="0"/>
                <w:sz w:val="16"/>
              </w:rPr>
              <w:t>2,694</w:t>
            </w:r>
          </w:p>
        </w:tc>
        <w:tc>
          <w:tcPr>
            <w:tcW w:type="dxa" w:w="2381"/>
          </w:tcPr>
          <w:p>
            <w:r/>
            <w:r>
              <w:rPr>
                <w:b w:val="0"/>
                <w:i w:val="0"/>
                <w:sz w:val="16"/>
              </w:rPr>
              <w:t>Byte-identical copy (same MD5)</w:t>
            </w:r>
          </w:p>
        </w:tc>
        <w:tc>
          <w:tcPr>
            <w:tcW w:type="dxa" w:w="3061"/>
          </w:tcPr>
          <w:p>
            <w:r/>
            <w:r>
              <w:rPr>
                <w:b w:val="0"/>
                <w:i w:val="0"/>
                <w:sz w:val="16"/>
              </w:rPr>
              <w:t>Not loaded; identity verified and reported</w:t>
            </w:r>
          </w:p>
        </w:tc>
      </w:tr>
      <w:tr>
        <w:tc>
          <w:tcPr>
            <w:tcW w:type="dxa" w:w="2948"/>
          </w:tcPr>
          <w:p>
            <w:r/>
            <w:r>
              <w:rPr>
                <w:b w:val="0"/>
                <w:i w:val="0"/>
                <w:sz w:val="16"/>
              </w:rPr>
              <w:t>MV360 Competitors Spain Sample / Sheet1</w:t>
            </w:r>
          </w:p>
        </w:tc>
        <w:tc>
          <w:tcPr>
            <w:tcW w:type="dxa" w:w="1247"/>
          </w:tcPr>
          <w:p>
            <w:r/>
            <w:r>
              <w:rPr>
                <w:b w:val="0"/>
                <w:i w:val="0"/>
                <w:sz w:val="16"/>
              </w:rPr>
              <w:t>525</w:t>
            </w:r>
          </w:p>
        </w:tc>
        <w:tc>
          <w:tcPr>
            <w:tcW w:type="dxa" w:w="2381"/>
          </w:tcPr>
          <w:p>
            <w:r/>
            <w:r>
              <w:rPr>
                <w:b w:val="0"/>
                <w:i w:val="0"/>
                <w:sz w:val="16"/>
              </w:rPr>
              <w:t>SharePoint list CompetitorMktShare</w:t>
            </w:r>
          </w:p>
        </w:tc>
        <w:tc>
          <w:tcPr>
            <w:tcW w:type="dxa" w:w="3061"/>
          </w:tcPr>
          <w:p>
            <w:r/>
            <w:r>
              <w:rPr>
                <w:b w:val="0"/>
                <w:i w:val="0"/>
                <w:sz w:val="16"/>
              </w:rPr>
              <w:t>Competitor shares, values, trends</w:t>
            </w:r>
          </w:p>
        </w:tc>
      </w:tr>
      <w:tr>
        <w:tc>
          <w:tcPr>
            <w:tcW w:type="dxa" w:w="2948"/>
          </w:tcPr>
          <w:p>
            <w:r/>
            <w:r>
              <w:rPr>
                <w:b w:val="0"/>
                <w:i w:val="0"/>
                <w:sz w:val="16"/>
              </w:rPr>
              <w:t>Grower Potential ES Sample / Sheet1</w:t>
            </w:r>
          </w:p>
        </w:tc>
        <w:tc>
          <w:tcPr>
            <w:tcW w:type="dxa" w:w="1247"/>
          </w:tcPr>
          <w:p>
            <w:r/>
            <w:r>
              <w:rPr>
                <w:b w:val="0"/>
                <w:i w:val="0"/>
                <w:sz w:val="16"/>
              </w:rPr>
              <w:t>8,998</w:t>
            </w:r>
          </w:p>
        </w:tc>
        <w:tc>
          <w:tcPr>
            <w:tcW w:type="dxa" w:w="2381"/>
          </w:tcPr>
          <w:p>
            <w:r/>
            <w:r>
              <w:rPr>
                <w:b w:val="0"/>
                <w:i w:val="0"/>
                <w:sz w:val="16"/>
              </w:rPr>
              <w:t>CRM grower-potential export</w:t>
            </w:r>
          </w:p>
        </w:tc>
        <w:tc>
          <w:tcPr>
            <w:tcW w:type="dxa" w:w="3061"/>
          </w:tcPr>
          <w:p>
            <w:r/>
            <w:r>
              <w:rPr>
                <w:b w:val="0"/>
                <w:i w:val="0"/>
                <w:sz w:val="16"/>
              </w:rPr>
              <w:t>Syngenta variety footprint, grower hectares ceiling</w:t>
            </w:r>
          </w:p>
        </w:tc>
      </w:tr>
      <w:tr>
        <w:tc>
          <w:tcPr>
            <w:tcW w:type="dxa" w:w="2948"/>
          </w:tcPr>
          <w:p>
            <w:r/>
            <w:r>
              <w:rPr>
                <w:b w:val="0"/>
                <w:i w:val="0"/>
                <w:sz w:val="16"/>
              </w:rPr>
              <w:t>Prod Hierarchy - complete / prod hierarchy</w:t>
            </w:r>
          </w:p>
        </w:tc>
        <w:tc>
          <w:tcPr>
            <w:tcW w:type="dxa" w:w="1247"/>
          </w:tcPr>
          <w:p>
            <w:r/>
            <w:r>
              <w:rPr>
                <w:b w:val="0"/>
                <w:i w:val="0"/>
                <w:sz w:val="16"/>
              </w:rPr>
              <w:t>679</w:t>
            </w:r>
          </w:p>
        </w:tc>
        <w:tc>
          <w:tcPr>
            <w:tcW w:type="dxa" w:w="2381"/>
          </w:tcPr>
          <w:p>
            <w:r/>
            <w:r>
              <w:rPr>
                <w:b w:val="0"/>
                <w:i w:val="0"/>
                <w:sz w:val="16"/>
              </w:rPr>
              <w:t>Product hierarchy master</w:t>
            </w:r>
          </w:p>
        </w:tc>
        <w:tc>
          <w:tcPr>
            <w:tcW w:type="dxa" w:w="3061"/>
          </w:tcPr>
          <w:p>
            <w:r/>
            <w:r>
              <w:rPr>
                <w:b w:val="0"/>
                <w:i w:val="0"/>
                <w:sz w:val="16"/>
              </w:rPr>
              <w:t>Micro-segment IDs, descriptions, cycle, colour, ecology</w:t>
            </w:r>
          </w:p>
        </w:tc>
      </w:tr>
      <w:tr>
        <w:tc>
          <w:tcPr>
            <w:tcW w:type="dxa" w:w="2948"/>
          </w:tcPr>
          <w:p>
            <w:r/>
            <w:r>
              <w:rPr>
                <w:b w:val="0"/>
                <w:i w:val="0"/>
                <w:sz w:val="16"/>
              </w:rPr>
              <w:t>Prod Hierarchy / examples, 5yrSales, MAPS, MAPS (2)</w:t>
            </w:r>
          </w:p>
        </w:tc>
        <w:tc>
          <w:tcPr>
            <w:tcW w:type="dxa" w:w="1247"/>
          </w:tcPr>
          <w:p>
            <w:r/>
            <w:r>
              <w:rPr>
                <w:b w:val="0"/>
                <w:i w:val="0"/>
                <w:sz w:val="16"/>
              </w:rPr>
              <w:t>38, 344, 1,009, 679</w:t>
            </w:r>
          </w:p>
        </w:tc>
        <w:tc>
          <w:tcPr>
            <w:tcW w:type="dxa" w:w="2381"/>
          </w:tcPr>
          <w:p>
            <w:r/>
            <w:r>
              <w:rPr>
                <w:b w:val="0"/>
                <w:i w:val="0"/>
                <w:sz w:val="16"/>
              </w:rPr>
              <w:t>Naming cross-walks</w:t>
            </w:r>
          </w:p>
        </w:tc>
        <w:tc>
          <w:tcPr>
            <w:tcW w:type="dxa" w:w="3061"/>
          </w:tcPr>
          <w:p>
            <w:r/>
            <w:r>
              <w:rPr>
                <w:b w:val="0"/>
                <w:i w:val="0"/>
                <w:sz w:val="16"/>
              </w:rPr>
              <w:t>Reference only; the app joins on IDs so name mapping is not needed</w:t>
            </w:r>
          </w:p>
        </w:tc>
      </w:tr>
      <w:tr>
        <w:tc>
          <w:tcPr>
            <w:tcW w:type="dxa" w:w="2948"/>
          </w:tcPr>
          <w:p>
            <w:r/>
            <w:r>
              <w:rPr>
                <w:b w:val="0"/>
                <w:i w:val="0"/>
                <w:sz w:val="16"/>
              </w:rPr>
              <w:t>Spain Geo / City</w:t>
            </w:r>
          </w:p>
        </w:tc>
        <w:tc>
          <w:tcPr>
            <w:tcW w:type="dxa" w:w="1247"/>
          </w:tcPr>
          <w:p>
            <w:r/>
            <w:r>
              <w:rPr>
                <w:b w:val="0"/>
                <w:i w:val="0"/>
                <w:sz w:val="16"/>
              </w:rPr>
              <w:t>761</w:t>
            </w:r>
          </w:p>
        </w:tc>
        <w:tc>
          <w:tcPr>
            <w:tcW w:type="dxa" w:w="2381"/>
          </w:tcPr>
          <w:p>
            <w:r/>
            <w:r>
              <w:rPr>
                <w:b w:val="0"/>
                <w:i w:val="0"/>
                <w:sz w:val="16"/>
              </w:rPr>
              <w:t>Province/city pivot</w:t>
            </w:r>
          </w:p>
        </w:tc>
        <w:tc>
          <w:tcPr>
            <w:tcW w:type="dxa" w:w="3061"/>
          </w:tcPr>
          <w:p>
            <w:r/>
            <w:r>
              <w:rPr>
                <w:b w:val="0"/>
                <w:i w:val="0"/>
                <w:sz w:val="16"/>
              </w:rPr>
              <w:t>Data-quality checks only (roll-up out of scope)</w:t>
            </w:r>
          </w:p>
        </w:tc>
      </w:tr>
      <w:tr>
        <w:tc>
          <w:tcPr>
            <w:tcW w:type="dxa" w:w="2948"/>
          </w:tcPr>
          <w:p>
            <w:r/>
            <w:r>
              <w:rPr>
                <w:b w:val="0"/>
                <w:i w:val="0"/>
                <w:sz w:val="16"/>
              </w:rPr>
              <w:t>Spain Geo / Pincode</w:t>
            </w:r>
          </w:p>
        </w:tc>
        <w:tc>
          <w:tcPr>
            <w:tcW w:type="dxa" w:w="1247"/>
          </w:tcPr>
          <w:p>
            <w:r/>
            <w:r>
              <w:rPr>
                <w:b w:val="0"/>
                <w:i w:val="0"/>
                <w:sz w:val="16"/>
              </w:rPr>
              <w:t>2,299</w:t>
            </w:r>
          </w:p>
        </w:tc>
        <w:tc>
          <w:tcPr>
            <w:tcW w:type="dxa" w:w="2381"/>
          </w:tcPr>
          <w:p>
            <w:r/>
            <w:r>
              <w:rPr>
                <w:b w:val="0"/>
                <w:i w:val="0"/>
                <w:sz w:val="16"/>
              </w:rPr>
              <w:t>Street and postcode list</w:t>
            </w:r>
          </w:p>
        </w:tc>
        <w:tc>
          <w:tcPr>
            <w:tcW w:type="dxa" w:w="3061"/>
          </w:tcPr>
          <w:p>
            <w:r/>
            <w:r>
              <w:rPr>
                <w:b w:val="0"/>
                <w:i w:val="0"/>
                <w:sz w:val="16"/>
              </w:rPr>
              <w:t>Data-quality checks only</w:t>
            </w:r>
          </w:p>
        </w:tc>
      </w:tr>
    </w:tbl>
    <w:p>
      <w:pPr>
        <w:spacing w:after="40"/>
      </w:pPr>
    </w:p>
    <w:p>
      <w:pPr>
        <w:pStyle w:val="Heading1"/>
      </w:pPr>
      <w:r>
        <w:t>12. Data elements used, why, and how</w:t>
      </w:r>
    </w:p>
    <w:p>
      <w:pPr>
        <w:jc w:val="center"/>
      </w:pPr>
      <w:r>
        <w:drawing>
          <wp:inline xmlns:a="http://schemas.openxmlformats.org/drawingml/2006/main" xmlns:pic="http://schemas.openxmlformats.org/drawingml/2006/picture">
            <wp:extent cx="6120000" cy="3648571"/>
            <wp:docPr id="11" name="Picture 11"/>
            <wp:cNvGraphicFramePr>
              <a:graphicFrameLocks noChangeAspect="1"/>
            </wp:cNvGraphicFramePr>
            <a:graphic>
              <a:graphicData uri="http://schemas.openxmlformats.org/drawingml/2006/picture">
                <pic:pic>
                  <pic:nvPicPr>
                    <pic:cNvPr id="0" name="lineage.png"/>
                    <pic:cNvPicPr/>
                  </pic:nvPicPr>
                  <pic:blipFill>
                    <a:blip r:embed="rId20"/>
                    <a:stretch>
                      <a:fillRect/>
                    </a:stretch>
                  </pic:blipFill>
                  <pic:spPr>
                    <a:xfrm>
                      <a:off x="0" y="0"/>
                      <a:ext cx="6120000" cy="3648571"/>
                    </a:xfrm>
                    <a:prstGeom prst="rect"/>
                  </pic:spPr>
                </pic:pic>
              </a:graphicData>
            </a:graphic>
          </wp:inline>
        </w:drawing>
      </w:r>
    </w:p>
    <w:p>
      <w:pPr>
        <w:jc w:val="center"/>
      </w:pPr>
      <w:r>
        <w:rPr>
          <w:i/>
          <w:sz w:val="18"/>
        </w:rPr>
        <w:t>Figure 11. Lineage from spreadsheet elements to seed tables and app features</w:t>
      </w:r>
    </w:p>
    <w:p>
      <w:pPr>
        <w:spacing w:after="120"/>
      </w:pPr>
      <w:r>
        <w:rPr>
          <w:b w:val="0"/>
          <w:i w:val="0"/>
        </w:rPr>
        <w:t>Every column that influences the application is listed below. 'Stored as' names the seed table and column; 'used by' names the feature. Columns that were deliberately not used are listed in section 13.</w:t>
      </w:r>
    </w:p>
    <w:p>
      <w:pPr>
        <w:pStyle w:val="Heading2"/>
      </w:pPr>
      <w:r>
        <w:t>12.1 MV360 Market Spain Sample (MAPSHistData)</w:t>
      </w:r>
    </w:p>
    <w:p>
      <w:pPr>
        <w:spacing w:after="40"/>
      </w:pPr>
      <w:r>
        <w:rPr>
          <w:b/>
          <w:sz w:val="18"/>
        </w:rPr>
        <w:t>Table 15. Market elements used</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Micro Segment</w:t>
            </w:r>
          </w:p>
        </w:tc>
        <w:tc>
          <w:tcPr>
            <w:tcW w:type="dxa" w:w="3402"/>
          </w:tcPr>
          <w:p>
            <w:r/>
            <w:r>
              <w:rPr>
                <w:b w:val="0"/>
                <w:i w:val="0"/>
                <w:sz w:val="15"/>
              </w:rPr>
              <w:t>Stable numeric key shared with the hierarchy and sales; names were renamed in February 2026, IDs were not.</w:t>
            </w:r>
          </w:p>
        </w:tc>
        <w:tc>
          <w:tcPr>
            <w:tcW w:type="dxa" w:w="4195"/>
          </w:tcPr>
          <w:p>
            <w:r/>
            <w:r>
              <w:rPr>
                <w:b w:val="0"/>
                <w:i w:val="0"/>
                <w:sz w:val="15"/>
              </w:rPr>
              <w:t>market_years.segment_id -&gt; join to segments and plan_years; scope selection (9 segments with 2026 area).</w:t>
            </w:r>
          </w:p>
        </w:tc>
      </w:tr>
      <w:tr>
        <w:tc>
          <w:tcPr>
            <w:tcW w:type="dxa" w:w="2041"/>
          </w:tcPr>
          <w:p>
            <w:r/>
            <w:r>
              <w:rPr>
                <w:b w:val="0"/>
                <w:i w:val="0"/>
                <w:sz w:val="15"/>
              </w:rPr>
              <w:t>Year</w:t>
            </w:r>
          </w:p>
        </w:tc>
        <w:tc>
          <w:tcPr>
            <w:tcW w:type="dxa" w:w="3402"/>
          </w:tcPr>
          <w:p>
            <w:r/>
            <w:r>
              <w:rPr>
                <w:b w:val="0"/>
                <w:i w:val="0"/>
                <w:sz w:val="15"/>
              </w:rPr>
              <w:t>Time axis 2024-2030; 2026 is the current year, 2025 the comparison year.</w:t>
            </w:r>
          </w:p>
        </w:tc>
        <w:tc>
          <w:tcPr>
            <w:tcW w:type="dxa" w:w="4195"/>
          </w:tcPr>
          <w:p>
            <w:r/>
            <w:r>
              <w:rPr>
                <w:b w:val="0"/>
                <w:i w:val="0"/>
                <w:sz w:val="15"/>
              </w:rPr>
              <w:t>market_years.year -&gt; current-year context, last-year share, area trend, historical max share.</w:t>
            </w:r>
          </w:p>
        </w:tc>
      </w:tr>
      <w:tr>
        <w:tc>
          <w:tcPr>
            <w:tcW w:type="dxa" w:w="2041"/>
          </w:tcPr>
          <w:p>
            <w:r/>
            <w:r>
              <w:rPr>
                <w:b w:val="0"/>
                <w:i w:val="0"/>
                <w:sz w:val="15"/>
              </w:rPr>
              <w:t>Mega Segment Desc</w:t>
            </w:r>
          </w:p>
        </w:tc>
        <w:tc>
          <w:tcPr>
            <w:tcW w:type="dxa" w:w="3402"/>
          </w:tcPr>
          <w:p>
            <w:r/>
            <w:r>
              <w:rPr>
                <w:b w:val="0"/>
                <w:i w:val="0"/>
                <w:sz w:val="15"/>
              </w:rPr>
              <w:t>Identifies the locked mega-segment.</w:t>
            </w:r>
          </w:p>
        </w:tc>
        <w:tc>
          <w:tcPr>
            <w:tcW w:type="dxa" w:w="4195"/>
          </w:tcPr>
          <w:p>
            <w:r/>
            <w:r>
              <w:rPr>
                <w:b w:val="0"/>
                <w:i w:val="0"/>
                <w:sz w:val="15"/>
              </w:rPr>
              <w:t>Filter = 'SWEET PEPPER BLOCKY PGH' (not stored).</w:t>
            </w:r>
          </w:p>
        </w:tc>
      </w:tr>
      <w:tr>
        <w:tc>
          <w:tcPr>
            <w:tcW w:type="dxa" w:w="2041"/>
          </w:tcPr>
          <w:p>
            <w:r/>
            <w:r>
              <w:rPr>
                <w:b w:val="0"/>
                <w:i w:val="0"/>
                <w:sz w:val="15"/>
              </w:rPr>
              <w:t>Country</w:t>
            </w:r>
          </w:p>
        </w:tc>
        <w:tc>
          <w:tcPr>
            <w:tcW w:type="dxa" w:w="3402"/>
          </w:tcPr>
          <w:p>
            <w:r/>
            <w:r>
              <w:rPr>
                <w:b w:val="0"/>
                <w:i w:val="0"/>
                <w:sz w:val="15"/>
              </w:rPr>
              <w:t>Confirms the file is Spain-only (all 3,553 rows).</w:t>
            </w:r>
          </w:p>
        </w:tc>
        <w:tc>
          <w:tcPr>
            <w:tcW w:type="dxa" w:w="4195"/>
          </w:tcPr>
          <w:p>
            <w:r/>
            <w:r>
              <w:rPr>
                <w:b w:val="0"/>
                <w:i w:val="0"/>
                <w:sz w:val="15"/>
              </w:rPr>
              <w:t>Scope check (not stored).</w:t>
            </w:r>
          </w:p>
        </w:tc>
      </w:tr>
      <w:tr>
        <w:tc>
          <w:tcPr>
            <w:tcW w:type="dxa" w:w="2041"/>
          </w:tcPr>
          <w:p>
            <w:r/>
            <w:r>
              <w:rPr>
                <w:b w:val="0"/>
                <w:i w:val="0"/>
                <w:sz w:val="15"/>
              </w:rPr>
              <w:t>Market Planted Area (HA)</w:t>
            </w:r>
          </w:p>
        </w:tc>
        <w:tc>
          <w:tcPr>
            <w:tcW w:type="dxa" w:w="3402"/>
          </w:tcPr>
          <w:p>
            <w:r/>
            <w:r>
              <w:rPr>
                <w:b w:val="0"/>
                <w:i w:val="0"/>
                <w:sz w:val="15"/>
              </w:rPr>
              <w:t>Physical ceiling for any demand number; basis of the market-trend signal.</w:t>
            </w:r>
          </w:p>
        </w:tc>
        <w:tc>
          <w:tcPr>
            <w:tcW w:type="dxa" w:w="4195"/>
          </w:tcPr>
          <w:p>
            <w:r/>
            <w:r>
              <w:rPr>
                <w:b w:val="0"/>
                <w:i w:val="0"/>
                <w:sz w:val="15"/>
              </w:rPr>
              <w:t>market_years.hectares -&gt; Implied hectares tile, implied_ha_over_market and against_market_trend flags, RTB market line.</w:t>
            </w:r>
          </w:p>
        </w:tc>
      </w:tr>
      <w:tr>
        <w:tc>
          <w:tcPr>
            <w:tcW w:type="dxa" w:w="2041"/>
          </w:tcPr>
          <w:p>
            <w:r/>
            <w:r>
              <w:rPr>
                <w:b w:val="0"/>
                <w:i w:val="0"/>
                <w:sz w:val="15"/>
              </w:rPr>
              <w:t>Market Qty (KS)</w:t>
            </w:r>
          </w:p>
        </w:tc>
        <w:tc>
          <w:tcPr>
            <w:tcW w:type="dxa" w:w="3402"/>
          </w:tcPr>
          <w:p>
            <w:r/>
            <w:r>
              <w:rPr>
                <w:b w:val="0"/>
                <w:i w:val="0"/>
                <w:sz w:val="15"/>
              </w:rPr>
              <w:t>Denominator of volume share; verified as hectares x density on all 994 rows with both values.</w:t>
            </w:r>
          </w:p>
        </w:tc>
        <w:tc>
          <w:tcPr>
            <w:tcW w:type="dxa" w:w="4195"/>
          </w:tcPr>
          <w:p>
            <w:r/>
            <w:r>
              <w:rPr>
                <w:b w:val="0"/>
                <w:i w:val="0"/>
                <w:sz w:val="15"/>
              </w:rPr>
              <w:t>market_years.qty_ks -&gt; volume share, share range, share_over_100, share_above_history, historical max share.</w:t>
            </w:r>
          </w:p>
        </w:tc>
      </w:tr>
      <w:tr>
        <w:tc>
          <w:tcPr>
            <w:tcW w:type="dxa" w:w="2041"/>
          </w:tcPr>
          <w:p>
            <w:r/>
            <w:r>
              <w:rPr>
                <w:b w:val="0"/>
                <w:i w:val="0"/>
                <w:sz w:val="15"/>
              </w:rPr>
              <w:t>Market Avg Plant Density</w:t>
            </w:r>
          </w:p>
        </w:tc>
        <w:tc>
          <w:tcPr>
            <w:tcW w:type="dxa" w:w="3402"/>
          </w:tcPr>
          <w:p>
            <w:r/>
            <w:r>
              <w:rPr>
                <w:b w:val="0"/>
                <w:i w:val="0"/>
                <w:sz w:val="15"/>
              </w:rPr>
              <w:t>Converts seed quantity (thousand seeds) to hectares.</w:t>
            </w:r>
          </w:p>
        </w:tc>
        <w:tc>
          <w:tcPr>
            <w:tcW w:type="dxa" w:w="4195"/>
          </w:tcPr>
          <w:p>
            <w:r/>
            <w:r>
              <w:rPr>
                <w:b w:val="0"/>
                <w:i w:val="0"/>
                <w:sz w:val="15"/>
              </w:rPr>
              <w:t>market_years.density -&gt; implied hectares, mega implied hectares, grower-potential flag.</w:t>
            </w:r>
          </w:p>
        </w:tc>
      </w:tr>
      <w:tr>
        <w:tc>
          <w:tcPr>
            <w:tcW w:type="dxa" w:w="2041"/>
          </w:tcPr>
          <w:p>
            <w:r/>
            <w:r>
              <w:rPr>
                <w:b w:val="0"/>
                <w:i w:val="0"/>
                <w:sz w:val="15"/>
              </w:rPr>
              <w:t>Market AvgPrice (ExSeed)</w:t>
            </w:r>
          </w:p>
        </w:tc>
        <w:tc>
          <w:tcPr>
            <w:tcW w:type="dxa" w:w="3402"/>
          </w:tcPr>
          <w:p>
            <w:r/>
            <w:r>
              <w:rPr>
                <w:b w:val="0"/>
                <w:i w:val="0"/>
                <w:sz w:val="15"/>
              </w:rPr>
              <w:t>Seed price in the market; market value = quantity x ex-seed price reconciles the competitor EUR values.</w:t>
            </w:r>
          </w:p>
        </w:tc>
        <w:tc>
          <w:tcPr>
            <w:tcW w:type="dxa" w:w="4195"/>
          </w:tcPr>
          <w:p>
            <w:r/>
            <w:r>
              <w:rPr>
                <w:b w:val="0"/>
                <w:i w:val="0"/>
                <w:sz w:val="15"/>
              </w:rPr>
              <w:t>market_years.price_exseed -&gt; value share, mega value share, competitor re-split.</w:t>
            </w:r>
          </w:p>
        </w:tc>
      </w:tr>
      <w:tr>
        <w:tc>
          <w:tcPr>
            <w:tcW w:type="dxa" w:w="2041"/>
          </w:tcPr>
          <w:p>
            <w:r/>
            <w:r>
              <w:rPr>
                <w:b w:val="0"/>
                <w:i w:val="0"/>
                <w:sz w:val="15"/>
              </w:rPr>
              <w:t>Market AvgPrice (Farmgate)</w:t>
            </w:r>
          </w:p>
        </w:tc>
        <w:tc>
          <w:tcPr>
            <w:tcW w:type="dxa" w:w="3402"/>
          </w:tcPr>
          <w:p>
            <w:r/>
            <w:r>
              <w:rPr>
                <w:b w:val="0"/>
                <w:i w:val="0"/>
                <w:sz w:val="15"/>
              </w:rPr>
              <w:t>Grower-level price; kept for context and future margin views.</w:t>
            </w:r>
          </w:p>
        </w:tc>
        <w:tc>
          <w:tcPr>
            <w:tcW w:type="dxa" w:w="4195"/>
          </w:tcPr>
          <w:p>
            <w:r/>
            <w:r>
              <w:rPr>
                <w:b w:val="0"/>
                <w:i w:val="0"/>
                <w:sz w:val="15"/>
              </w:rPr>
              <w:t>market_years.price_farmgate -&gt; stored, not used in the math.</w:t>
            </w:r>
          </w:p>
        </w:tc>
      </w:tr>
      <w:tr>
        <w:tc>
          <w:tcPr>
            <w:tcW w:type="dxa" w:w="2041"/>
          </w:tcPr>
          <w:p>
            <w:r/>
            <w:r>
              <w:rPr>
                <w:b w:val="0"/>
                <w:i w:val="0"/>
                <w:sz w:val="15"/>
              </w:rPr>
              <w:t>CompetitorPOV</w:t>
            </w:r>
          </w:p>
        </w:tc>
        <w:tc>
          <w:tcPr>
            <w:tcW w:type="dxa" w:w="3402"/>
          </w:tcPr>
          <w:p>
            <w:r/>
            <w:r>
              <w:rPr>
                <w:b w:val="0"/>
                <w:i w:val="0"/>
                <w:sz w:val="15"/>
              </w:rPr>
              <w:t>Qualitative intelligence on who leads the segment.</w:t>
            </w:r>
          </w:p>
        </w:tc>
        <w:tc>
          <w:tcPr>
            <w:tcW w:type="dxa" w:w="4195"/>
          </w:tcPr>
          <w:p>
            <w:r/>
            <w:r>
              <w:rPr>
                <w:b w:val="0"/>
                <w:i w:val="0"/>
                <w:sz w:val="15"/>
              </w:rPr>
              <w:t>market_years.notes.competitors -&gt; Jev state (consistency check), capture context.</w:t>
            </w:r>
          </w:p>
        </w:tc>
      </w:tr>
      <w:tr>
        <w:tc>
          <w:tcPr>
            <w:tcW w:type="dxa" w:w="2041"/>
          </w:tcPr>
          <w:p>
            <w:r/>
            <w:r>
              <w:rPr>
                <w:b w:val="0"/>
                <w:i w:val="0"/>
                <w:sz w:val="15"/>
              </w:rPr>
              <w:t>MarketDynamics</w:t>
            </w:r>
          </w:p>
        </w:tc>
        <w:tc>
          <w:tcPr>
            <w:tcW w:type="dxa" w:w="3402"/>
          </w:tcPr>
          <w:p>
            <w:r/>
            <w:r>
              <w:rPr>
                <w:b w:val="0"/>
                <w:i w:val="0"/>
                <w:sz w:val="15"/>
              </w:rPr>
              <w:t>Explains area movements (e.g. T. parvispinus impact).</w:t>
            </w:r>
          </w:p>
        </w:tc>
        <w:tc>
          <w:tcPr>
            <w:tcW w:type="dxa" w:w="4195"/>
          </w:tcPr>
          <w:p>
            <w:r/>
            <w:r>
              <w:rPr>
                <w:b w:val="0"/>
                <w:i w:val="0"/>
                <w:sz w:val="15"/>
              </w:rPr>
              <w:t>market_years.notes.dynamics -&gt; against_market_trend message, RTB 'Watch' line, Jev state.</w:t>
            </w:r>
          </w:p>
        </w:tc>
      </w:tr>
      <w:tr>
        <w:tc>
          <w:tcPr>
            <w:tcW w:type="dxa" w:w="2041"/>
          </w:tcPr>
          <w:p>
            <w:r/>
            <w:r>
              <w:rPr>
                <w:b w:val="0"/>
                <w:i w:val="0"/>
                <w:sz w:val="15"/>
              </w:rPr>
              <w:t>GrowersPOV, ConsumersPov, Distributors, TechnologyAdapt</w:t>
            </w:r>
          </w:p>
        </w:tc>
        <w:tc>
          <w:tcPr>
            <w:tcW w:type="dxa" w:w="3402"/>
          </w:tcPr>
          <w:p>
            <w:r/>
            <w:r>
              <w:rPr>
                <w:b w:val="0"/>
                <w:i w:val="0"/>
                <w:sz w:val="15"/>
              </w:rPr>
              <w:t>Additional market context (grower treatments, commodity nature, distributor ties such as Agrupainver).</w:t>
            </w:r>
          </w:p>
        </w:tc>
        <w:tc>
          <w:tcPr>
            <w:tcW w:type="dxa" w:w="4195"/>
          </w:tcPr>
          <w:p>
            <w:r/>
            <w:r>
              <w:rPr>
                <w:b w:val="0"/>
                <w:i w:val="0"/>
                <w:sz w:val="15"/>
              </w:rPr>
              <w:t>market_years.notes.* -&gt; Jev state for consistent_with_market_notes.</w:t>
            </w:r>
          </w:p>
        </w:tc>
      </w:tr>
      <w:tr>
        <w:tc>
          <w:tcPr>
            <w:tcW w:type="dxa" w:w="2041"/>
          </w:tcPr>
          <w:p>
            <w:r/>
            <w:r>
              <w:rPr>
                <w:b w:val="0"/>
                <w:i w:val="0"/>
                <w:sz w:val="15"/>
              </w:rPr>
              <w:t>Modified</w:t>
            </w:r>
          </w:p>
        </w:tc>
        <w:tc>
          <w:tcPr>
            <w:tcW w:type="dxa" w:w="3402"/>
          </w:tcPr>
          <w:p>
            <w:r/>
            <w:r>
              <w:rPr>
                <w:b w:val="0"/>
                <w:i w:val="0"/>
                <w:sz w:val="15"/>
              </w:rPr>
              <w:t>821 micro-segment/year pairs are duplicated (232 with conflicting values).</w:t>
            </w:r>
          </w:p>
        </w:tc>
        <w:tc>
          <w:tcPr>
            <w:tcW w:type="dxa" w:w="4195"/>
          </w:tcPr>
          <w:p>
            <w:r/>
            <w:r>
              <w:rPr>
                <w:b w:val="0"/>
                <w:i w:val="0"/>
                <w:sz w:val="15"/>
              </w:rPr>
              <w:t>Deduplication: keep the most recently modified row (not stored).</w:t>
            </w:r>
          </w:p>
        </w:tc>
      </w:tr>
      <w:tr>
        <w:tc>
          <w:tcPr>
            <w:tcW w:type="dxa" w:w="2041"/>
          </w:tcPr>
          <w:p>
            <w:r/>
            <w:r>
              <w:rPr>
                <w:b w:val="0"/>
                <w:i w:val="0"/>
                <w:sz w:val="15"/>
              </w:rPr>
              <w:t>Path</w:t>
            </w:r>
          </w:p>
        </w:tc>
        <w:tc>
          <w:tcPr>
            <w:tcW w:type="dxa" w:w="3402"/>
          </w:tcPr>
          <w:p>
            <w:r/>
            <w:r>
              <w:rPr>
                <w:b w:val="0"/>
                <w:i w:val="0"/>
                <w:sz w:val="15"/>
              </w:rPr>
              <w:t>Provenance of the export (i-MAPS list).</w:t>
            </w:r>
          </w:p>
        </w:tc>
        <w:tc>
          <w:tcPr>
            <w:tcW w:type="dxa" w:w="4195"/>
          </w:tcPr>
          <w:p>
            <w:r/>
            <w:r>
              <w:rPr>
                <w:b w:val="0"/>
                <w:i w:val="0"/>
                <w:sz w:val="15"/>
              </w:rPr>
              <w:t>Documentation only.</w:t>
            </w:r>
          </w:p>
        </w:tc>
      </w:tr>
    </w:tbl>
    <w:p>
      <w:pPr>
        <w:spacing w:after="40"/>
      </w:pPr>
    </w:p>
    <w:p>
      <w:pPr>
        <w:pStyle w:val="Heading2"/>
      </w:pPr>
      <w:r>
        <w:t>12.2 MV360 Sales Spain Sample (Syngenta5YrsSales)</w:t>
      </w:r>
    </w:p>
    <w:p>
      <w:pPr>
        <w:spacing w:after="40"/>
      </w:pPr>
      <w:r>
        <w:rPr>
          <w:b/>
          <w:sz w:val="18"/>
        </w:rPr>
        <w:t>Table 16. Sales elements used</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Title</w:t>
            </w:r>
          </w:p>
        </w:tc>
        <w:tc>
          <w:tcPr>
            <w:tcW w:type="dxa" w:w="3402"/>
          </w:tcPr>
          <w:p>
            <w:r/>
            <w:r>
              <w:rPr>
                <w:b w:val="0"/>
                <w:i w:val="0"/>
                <w:sz w:val="15"/>
              </w:rPr>
              <w:t>Holds the year (2024-2030). 2024-2025 are treated as history, 2026 as the current plan, 2027+ as outlook.</w:t>
            </w:r>
          </w:p>
        </w:tc>
        <w:tc>
          <w:tcPr>
            <w:tcW w:type="dxa" w:w="4195"/>
          </w:tcPr>
          <w:p>
            <w:r/>
            <w:r>
              <w:rPr>
                <w:b w:val="0"/>
                <w:i w:val="0"/>
                <w:sz w:val="15"/>
              </w:rPr>
              <w:t>plan_years.year -&gt; plan FY, last-year actuals, historical shares, net price history.</w:t>
            </w:r>
          </w:p>
        </w:tc>
      </w:tr>
      <w:tr>
        <w:tc>
          <w:tcPr>
            <w:tcW w:type="dxa" w:w="2041"/>
          </w:tcPr>
          <w:p>
            <w:r/>
            <w:r>
              <w:rPr>
                <w:b w:val="0"/>
                <w:i w:val="0"/>
                <w:sz w:val="15"/>
              </w:rPr>
              <w:t>Microsegment ID</w:t>
            </w:r>
          </w:p>
        </w:tc>
        <w:tc>
          <w:tcPr>
            <w:tcW w:type="dxa" w:w="3402"/>
          </w:tcPr>
          <w:p>
            <w:r/>
            <w:r>
              <w:rPr>
                <w:b w:val="0"/>
                <w:i w:val="0"/>
                <w:sz w:val="15"/>
              </w:rPr>
              <w:t>Join key to market and hierarchy (40 rows missing).</w:t>
            </w:r>
          </w:p>
        </w:tc>
        <w:tc>
          <w:tcPr>
            <w:tcW w:type="dxa" w:w="4195"/>
          </w:tcPr>
          <w:p>
            <w:r/>
            <w:r>
              <w:rPr>
                <w:b w:val="0"/>
                <w:i w:val="0"/>
                <w:sz w:val="15"/>
              </w:rPr>
              <w:t>plan_years.segment_id.</w:t>
            </w:r>
          </w:p>
        </w:tc>
      </w:tr>
      <w:tr>
        <w:tc>
          <w:tcPr>
            <w:tcW w:type="dxa" w:w="2041"/>
          </w:tcPr>
          <w:p>
            <w:r/>
            <w:r>
              <w:rPr>
                <w:b w:val="0"/>
                <w:i w:val="0"/>
                <w:sz w:val="15"/>
              </w:rPr>
              <w:t>Microsegment Description</w:t>
            </w:r>
          </w:p>
        </w:tc>
        <w:tc>
          <w:tcPr>
            <w:tcW w:type="dxa" w:w="3402"/>
          </w:tcPr>
          <w:p>
            <w:r/>
            <w:r>
              <w:rPr>
                <w:b w:val="0"/>
                <w:i w:val="0"/>
                <w:sz w:val="15"/>
              </w:rPr>
              <w:t>Recovers missing IDs: 5 Blocky PGH rows for 2448 carried trailing non-breaking spaces and match the hierarchy exactly once normalized.</w:t>
            </w:r>
          </w:p>
        </w:tc>
        <w:tc>
          <w:tcPr>
            <w:tcW w:type="dxa" w:w="4195"/>
          </w:tcPr>
          <w:p>
            <w:r/>
            <w:r>
              <w:rPr>
                <w:b w:val="0"/>
                <w:i w:val="0"/>
                <w:sz w:val="15"/>
              </w:rPr>
              <w:t>ID recovery (not stored); 35 rows still without ID are dropped.</w:t>
            </w:r>
          </w:p>
        </w:tc>
      </w:tr>
      <w:tr>
        <w:tc>
          <w:tcPr>
            <w:tcW w:type="dxa" w:w="2041"/>
          </w:tcPr>
          <w:p>
            <w:r/>
            <w:r>
              <w:rPr>
                <w:b w:val="0"/>
                <w:i w:val="0"/>
                <w:sz w:val="15"/>
              </w:rPr>
              <w:t>Country</w:t>
            </w:r>
          </w:p>
        </w:tc>
        <w:tc>
          <w:tcPr>
            <w:tcW w:type="dxa" w:w="3402"/>
          </w:tcPr>
          <w:p>
            <w:r/>
            <w:r>
              <w:rPr>
                <w:b w:val="0"/>
                <w:i w:val="0"/>
                <w:sz w:val="15"/>
              </w:rPr>
              <w:t>Mixed 'Spain' / 'SPAIN' (205 rows).</w:t>
            </w:r>
          </w:p>
        </w:tc>
        <w:tc>
          <w:tcPr>
            <w:tcW w:type="dxa" w:w="4195"/>
          </w:tcPr>
          <w:p>
            <w:r/>
            <w:r>
              <w:rPr>
                <w:b w:val="0"/>
                <w:i w:val="0"/>
                <w:sz w:val="15"/>
              </w:rPr>
              <w:t>Normalized to Spain (not stored).</w:t>
            </w:r>
          </w:p>
        </w:tc>
      </w:tr>
      <w:tr>
        <w:tc>
          <w:tcPr>
            <w:tcW w:type="dxa" w:w="2041"/>
          </w:tcPr>
          <w:p>
            <w:r/>
            <w:r>
              <w:rPr>
                <w:b w:val="0"/>
                <w:i w:val="0"/>
                <w:sz w:val="15"/>
              </w:rPr>
              <w:t>Sales Qty</w:t>
            </w:r>
          </w:p>
        </w:tc>
        <w:tc>
          <w:tcPr>
            <w:tcW w:type="dxa" w:w="3402"/>
          </w:tcPr>
          <w:p>
            <w:r/>
            <w:r>
              <w:rPr>
                <w:b w:val="0"/>
                <w:i w:val="0"/>
                <w:sz w:val="15"/>
              </w:rPr>
              <w:t>Syngenta volume in thousand seeds - the number the rep is re-estimating.</w:t>
            </w:r>
          </w:p>
        </w:tc>
        <w:tc>
          <w:tcPr>
            <w:tcW w:type="dxa" w:w="4195"/>
          </w:tcPr>
          <w:p>
            <w:r/>
            <w:r>
              <w:rPr>
                <w:b w:val="0"/>
                <w:i w:val="0"/>
                <w:sz w:val="15"/>
              </w:rPr>
              <w:t>Anonymized -&gt; plan_years.qty_ks -&gt; plan FY, share numerator, last-year volume, monthly_plan and monthly_actuals split, track record baselines.</w:t>
            </w:r>
          </w:p>
        </w:tc>
      </w:tr>
      <w:tr>
        <w:tc>
          <w:tcPr>
            <w:tcW w:type="dxa" w:w="2041"/>
          </w:tcPr>
          <w:p>
            <w:r/>
            <w:r>
              <w:rPr>
                <w:b w:val="0"/>
                <w:i w:val="0"/>
                <w:sz w:val="15"/>
              </w:rPr>
              <w:t>Sales Value</w:t>
            </w:r>
          </w:p>
        </w:tc>
        <w:tc>
          <w:tcPr>
            <w:tcW w:type="dxa" w:w="3402"/>
          </w:tcPr>
          <w:p>
            <w:r/>
            <w:r>
              <w:rPr>
                <w:b w:val="0"/>
                <w:i w:val="0"/>
                <w:sz w:val="15"/>
              </w:rPr>
              <w:t>Syngenta revenue; together with quantity gives net price.</w:t>
            </w:r>
          </w:p>
        </w:tc>
        <w:tc>
          <w:tcPr>
            <w:tcW w:type="dxa" w:w="4195"/>
          </w:tcPr>
          <w:p>
            <w:r/>
            <w:r>
              <w:rPr>
                <w:b w:val="0"/>
                <w:i w:val="0"/>
                <w:sz w:val="15"/>
              </w:rPr>
              <w:t>Anonymized -&gt; plan_years.value_eur and net_price = value / qty -&gt; FY value, value share, revenue split, price flags, mega Syngenta value.</w:t>
            </w:r>
          </w:p>
        </w:tc>
      </w:tr>
      <w:tr>
        <w:tc>
          <w:tcPr>
            <w:tcW w:type="dxa" w:w="2041"/>
          </w:tcPr>
          <w:p>
            <w:r/>
            <w:r>
              <w:rPr>
                <w:b w:val="0"/>
                <w:i w:val="0"/>
                <w:sz w:val="15"/>
              </w:rPr>
              <w:t>FPI Qty</w:t>
            </w:r>
          </w:p>
        </w:tc>
        <w:tc>
          <w:tcPr>
            <w:tcW w:type="dxa" w:w="3402"/>
          </w:tcPr>
          <w:p>
            <w:r/>
            <w:r>
              <w:rPr>
                <w:b w:val="0"/>
                <w:i w:val="0"/>
                <w:sz w:val="15"/>
              </w:rPr>
              <w:t>New-launch quantity growing towards 2030; treatment in share is an open SME question.</w:t>
            </w:r>
          </w:p>
        </w:tc>
        <w:tc>
          <w:tcPr>
            <w:tcW w:type="dxa" w:w="4195"/>
          </w:tcPr>
          <w:p>
            <w:r/>
            <w:r>
              <w:rPr>
                <w:b w:val="0"/>
                <w:i w:val="0"/>
                <w:sz w:val="15"/>
              </w:rPr>
              <w:t>plan_years.fpi_qty_ks -&gt; stored for context.</w:t>
            </w:r>
          </w:p>
        </w:tc>
      </w:tr>
      <w:tr>
        <w:tc>
          <w:tcPr>
            <w:tcW w:type="dxa" w:w="2041"/>
          </w:tcPr>
          <w:p>
            <w:r/>
            <w:r>
              <w:rPr>
                <w:b w:val="0"/>
                <w:i w:val="0"/>
                <w:sz w:val="15"/>
              </w:rPr>
              <w:t>Qualitative Comments</w:t>
            </w:r>
          </w:p>
        </w:tc>
        <w:tc>
          <w:tcPr>
            <w:tcW w:type="dxa" w:w="3402"/>
          </w:tcPr>
          <w:p>
            <w:r/>
            <w:r>
              <w:rPr>
                <w:b w:val="0"/>
                <w:i w:val="0"/>
                <w:sz w:val="15"/>
              </w:rPr>
              <w:t>The rep's own reasoning in the plan (e.g. '80% of this microsegment', Sur Seeds / Limagrain leadership).</w:t>
            </w:r>
          </w:p>
        </w:tc>
        <w:tc>
          <w:tcPr>
            <w:tcW w:type="dxa" w:w="4195"/>
          </w:tcPr>
          <w:p>
            <w:r/>
            <w:r>
              <w:rPr>
                <w:b w:val="0"/>
                <w:i w:val="0"/>
                <w:sz w:val="15"/>
              </w:rPr>
              <w:t>plan_years.comment -&gt; capture header quote, Jev state ('rep comment'), RTB context.</w:t>
            </w:r>
          </w:p>
        </w:tc>
      </w:tr>
      <w:tr>
        <w:tc>
          <w:tcPr>
            <w:tcW w:type="dxa" w:w="2041"/>
          </w:tcPr>
          <w:p>
            <w:r/>
            <w:r>
              <w:rPr>
                <w:b w:val="0"/>
                <w:i w:val="0"/>
                <w:sz w:val="15"/>
              </w:rPr>
              <w:t>Modified By</w:t>
            </w:r>
          </w:p>
        </w:tc>
        <w:tc>
          <w:tcPr>
            <w:tcW w:type="dxa" w:w="3402"/>
          </w:tcPr>
          <w:p>
            <w:r/>
            <w:r>
              <w:rPr>
                <w:b w:val="0"/>
                <w:i w:val="0"/>
                <w:sz w:val="15"/>
              </w:rPr>
              <w:t>Shows reps (Garcia, Salinas, Pascual...) edit rows - evidence of the manual process.</w:t>
            </w:r>
          </w:p>
        </w:tc>
        <w:tc>
          <w:tcPr>
            <w:tcW w:type="dxa" w:w="4195"/>
          </w:tcPr>
          <w:p>
            <w:r/>
            <w:r>
              <w:rPr>
                <w:b w:val="0"/>
                <w:i w:val="0"/>
                <w:sz w:val="15"/>
              </w:rPr>
              <w:t>Not loaded; replaced by pseudonyms Rep A / Rep B.</w:t>
            </w:r>
          </w:p>
        </w:tc>
      </w:tr>
    </w:tbl>
    <w:p>
      <w:pPr>
        <w:spacing w:after="40"/>
      </w:pPr>
    </w:p>
    <w:p>
      <w:pPr>
        <w:pStyle w:val="Heading2"/>
      </w:pPr>
      <w:r>
        <w:t>12.3 MV360 Competitors Spain Sample (CompetitorMktShare)</w:t>
      </w:r>
    </w:p>
    <w:p>
      <w:pPr>
        <w:spacing w:after="40"/>
      </w:pPr>
      <w:r>
        <w:rPr>
          <w:b/>
          <w:sz w:val="18"/>
        </w:rPr>
        <w:t>Table 17. Competitor elements used</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Mega_Segment_Id</w:t>
            </w:r>
          </w:p>
        </w:tc>
        <w:tc>
          <w:tcPr>
            <w:tcW w:type="dxa" w:w="3402"/>
          </w:tcPr>
          <w:p>
            <w:r/>
            <w:r>
              <w:rPr>
                <w:b w:val="0"/>
                <w:i w:val="0"/>
                <w:sz w:val="15"/>
              </w:rPr>
              <w:t>Selects the Blocky PGH rows (SP01).</w:t>
            </w:r>
          </w:p>
        </w:tc>
        <w:tc>
          <w:tcPr>
            <w:tcW w:type="dxa" w:w="4195"/>
          </w:tcPr>
          <w:p>
            <w:r/>
            <w:r>
              <w:rPr>
                <w:b w:val="0"/>
                <w:i w:val="0"/>
                <w:sz w:val="15"/>
              </w:rPr>
              <w:t>Filter (not stored beyond competitor_shares.mega_segment_id).</w:t>
            </w:r>
          </w:p>
        </w:tc>
      </w:tr>
      <w:tr>
        <w:tc>
          <w:tcPr>
            <w:tcW w:type="dxa" w:w="2041"/>
          </w:tcPr>
          <w:p>
            <w:r/>
            <w:r>
              <w:rPr>
                <w:b w:val="0"/>
                <w:i w:val="0"/>
                <w:sz w:val="15"/>
              </w:rPr>
              <w:t>CompetitorDesc</w:t>
            </w:r>
          </w:p>
        </w:tc>
        <w:tc>
          <w:tcPr>
            <w:tcW w:type="dxa" w:w="3402"/>
          </w:tcPr>
          <w:p>
            <w:r/>
            <w:r>
              <w:rPr>
                <w:b w:val="0"/>
                <w:i w:val="0"/>
                <w:sz w:val="15"/>
              </w:rPr>
              <w:t>Names of the players that lose or gain share.</w:t>
            </w:r>
          </w:p>
        </w:tc>
        <w:tc>
          <w:tcPr>
            <w:tcW w:type="dxa" w:w="4195"/>
          </w:tcPr>
          <w:p>
            <w:r/>
            <w:r>
              <w:rPr>
                <w:b w:val="0"/>
                <w:i w:val="0"/>
                <w:sz w:val="15"/>
              </w:rPr>
              <w:t>competitor_shares.competitor -&gt; share tile competitor split, Jev competitor options, RTB competitive context.</w:t>
            </w:r>
          </w:p>
        </w:tc>
      </w:tr>
      <w:tr>
        <w:tc>
          <w:tcPr>
            <w:tcW w:type="dxa" w:w="2041"/>
          </w:tcPr>
          <w:p>
            <w:r/>
            <w:r>
              <w:rPr>
                <w:b w:val="0"/>
                <w:i w:val="0"/>
                <w:sz w:val="15"/>
              </w:rPr>
              <w:t>2024% ... 2030%</w:t>
            </w:r>
          </w:p>
        </w:tc>
        <w:tc>
          <w:tcPr>
            <w:tcW w:type="dxa" w:w="3402"/>
          </w:tcPr>
          <w:p>
            <w:r/>
            <w:r>
              <w:rPr>
                <w:b w:val="0"/>
                <w:i w:val="0"/>
                <w:sz w:val="15"/>
              </w:rPr>
              <w:t>Share per competitor per year (sums to 100 per mega-segment in 80 of 87 cases).</w:t>
            </w:r>
          </w:p>
        </w:tc>
        <w:tc>
          <w:tcPr>
            <w:tcW w:type="dxa" w:w="4195"/>
          </w:tcPr>
          <w:p>
            <w:r/>
            <w:r>
              <w:rPr>
                <w:b w:val="0"/>
                <w:i w:val="0"/>
                <w:sz w:val="15"/>
              </w:rPr>
              <w:t>Syngenta share recomputed from anonymized sales; other competitors rescaled to 100 - Syngenta -&gt; competitor_shares.share_pct -&gt; re-split on every keystroke.</w:t>
            </w:r>
          </w:p>
        </w:tc>
      </w:tr>
      <w:tr>
        <w:tc>
          <w:tcPr>
            <w:tcW w:type="dxa" w:w="2041"/>
          </w:tcPr>
          <w:p>
            <w:r/>
            <w:r>
              <w:rPr>
                <w:b w:val="0"/>
                <w:i w:val="0"/>
                <w:sz w:val="15"/>
              </w:rPr>
              <w:t>2024 ... 2030 (EUR)</w:t>
            </w:r>
          </w:p>
        </w:tc>
        <w:tc>
          <w:tcPr>
            <w:tcW w:type="dxa" w:w="3402"/>
          </w:tcPr>
          <w:p>
            <w:r/>
            <w:r>
              <w:rPr>
                <w:b w:val="0"/>
                <w:i w:val="0"/>
                <w:sz w:val="15"/>
              </w:rPr>
              <w:t>Validated that value = market qty x ex-seed price x share (median ratio 1.000).</w:t>
            </w:r>
          </w:p>
        </w:tc>
        <w:tc>
          <w:tcPr>
            <w:tcW w:type="dxa" w:w="4195"/>
          </w:tcPr>
          <w:p>
            <w:r/>
            <w:r>
              <w:rPr>
                <w:b w:val="0"/>
                <w:i w:val="0"/>
                <w:sz w:val="15"/>
              </w:rPr>
              <w:t>Recomputed from market value x share -&gt; competitor_shares.value_eur.</w:t>
            </w:r>
          </w:p>
        </w:tc>
      </w:tr>
      <w:tr>
        <w:tc>
          <w:tcPr>
            <w:tcW w:type="dxa" w:w="2041"/>
          </w:tcPr>
          <w:p>
            <w:r/>
            <w:r>
              <w:rPr>
                <w:b w:val="0"/>
                <w:i w:val="0"/>
                <w:sz w:val="15"/>
              </w:rPr>
              <w:t>CompetitorTrend</w:t>
            </w:r>
          </w:p>
        </w:tc>
        <w:tc>
          <w:tcPr>
            <w:tcW w:type="dxa" w:w="3402"/>
          </w:tcPr>
          <w:p>
            <w:r/>
            <w:r>
              <w:rPr>
                <w:b w:val="0"/>
                <w:i w:val="0"/>
                <w:sz w:val="15"/>
              </w:rPr>
              <w:t>Growing / Declining / No change signal.</w:t>
            </w:r>
          </w:p>
        </w:tc>
        <w:tc>
          <w:tcPr>
            <w:tcW w:type="dxa" w:w="4195"/>
          </w:tcPr>
          <w:p>
            <w:r/>
            <w:r>
              <w:rPr>
                <w:b w:val="0"/>
                <w:i w:val="0"/>
                <w:sz w:val="15"/>
              </w:rPr>
              <w:t>competitor_shares.trend -&gt; RTB competitive context, cube.</w:t>
            </w:r>
          </w:p>
        </w:tc>
      </w:tr>
    </w:tbl>
    <w:p>
      <w:pPr>
        <w:spacing w:after="40"/>
      </w:pPr>
    </w:p>
    <w:p>
      <w:pPr>
        <w:pStyle w:val="Heading2"/>
      </w:pPr>
      <w:r>
        <w:t>12.4 Grower Potential ES Sample (CRM)</w:t>
      </w:r>
    </w:p>
    <w:p>
      <w:pPr>
        <w:spacing w:after="40"/>
      </w:pPr>
      <w:r>
        <w:rPr>
          <w:b/>
          <w:sz w:val="18"/>
        </w:rPr>
        <w:t>Table 18. Grower-potential elements used</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Crop Local</w:t>
            </w:r>
          </w:p>
        </w:tc>
        <w:tc>
          <w:tcPr>
            <w:tcW w:type="dxa" w:w="3402"/>
          </w:tcPr>
          <w:p>
            <w:r/>
            <w:r>
              <w:rPr>
                <w:b w:val="0"/>
                <w:i w:val="0"/>
                <w:sz w:val="15"/>
              </w:rPr>
              <w:t>Matches the mega-segment name ('SWEET PEPPER BLOCKY PGH', 522 rows).</w:t>
            </w:r>
          </w:p>
        </w:tc>
        <w:tc>
          <w:tcPr>
            <w:tcW w:type="dxa" w:w="4195"/>
          </w:tcPr>
          <w:p>
            <w:r/>
            <w:r>
              <w:rPr>
                <w:b w:val="0"/>
                <w:i w:val="0"/>
                <w:sz w:val="15"/>
              </w:rPr>
              <w:t>Scope filter (not stored).</w:t>
            </w:r>
          </w:p>
        </w:tc>
      </w:tr>
      <w:tr>
        <w:tc>
          <w:tcPr>
            <w:tcW w:type="dxa" w:w="2041"/>
          </w:tcPr>
          <w:p>
            <w:r/>
            <w:r>
              <w:rPr>
                <w:b w:val="0"/>
                <w:i w:val="0"/>
                <w:sz w:val="15"/>
              </w:rPr>
              <w:t>Variety</w:t>
            </w:r>
          </w:p>
        </w:tc>
        <w:tc>
          <w:tcPr>
            <w:tcW w:type="dxa" w:w="3402"/>
          </w:tcPr>
          <w:p>
            <w:r/>
            <w:r>
              <w:rPr>
                <w:b w:val="0"/>
                <w:i w:val="0"/>
                <w:sz w:val="15"/>
              </w:rPr>
              <w:t>Shows which Syngenta varieties growers plant (Saitama, Hokkaido, Leontes, Bokken, Kaamos, Akame...).</w:t>
            </w:r>
          </w:p>
        </w:tc>
        <w:tc>
          <w:tcPr>
            <w:tcW w:type="dxa" w:w="4195"/>
          </w:tcPr>
          <w:p>
            <w:r/>
            <w:r>
              <w:rPr>
                <w:b w:val="0"/>
                <w:i w:val="0"/>
                <w:sz w:val="15"/>
              </w:rPr>
              <w:t>grower_potential.variety -&gt; the Jev variety option list and RTB vocabulary.</w:t>
            </w:r>
          </w:p>
        </w:tc>
      </w:tr>
      <w:tr>
        <w:tc>
          <w:tcPr>
            <w:tcW w:type="dxa" w:w="2041"/>
          </w:tcPr>
          <w:p>
            <w:r/>
            <w:r>
              <w:rPr>
                <w:b w:val="0"/>
                <w:i w:val="0"/>
                <w:sz w:val="15"/>
              </w:rPr>
              <w:t>Competitor</w:t>
            </w:r>
          </w:p>
        </w:tc>
        <w:tc>
          <w:tcPr>
            <w:tcW w:type="dxa" w:w="3402"/>
          </w:tcPr>
          <w:p>
            <w:r/>
            <w:r>
              <w:rPr>
                <w:b w:val="0"/>
                <w:i w:val="0"/>
                <w:sz w:val="15"/>
              </w:rPr>
              <w:t>Variety owner; for Blocky PGH it is either SYNGENTA or blank, so the file measures Syngenta's customer base, not competitors.</w:t>
            </w:r>
          </w:p>
        </w:tc>
        <w:tc>
          <w:tcPr>
            <w:tcW w:type="dxa" w:w="4195"/>
          </w:tcPr>
          <w:p>
            <w:r/>
            <w:r>
              <w:rPr>
                <w:b w:val="0"/>
                <w:i w:val="0"/>
                <w:sz w:val="15"/>
              </w:rPr>
              <w:t>grower_potential.owner -&gt; Syngenta grower ceiling.</w:t>
            </w:r>
          </w:p>
        </w:tc>
      </w:tr>
      <w:tr>
        <w:tc>
          <w:tcPr>
            <w:tcW w:type="dxa" w:w="2041"/>
          </w:tcPr>
          <w:p>
            <w:r/>
            <w:r>
              <w:rPr>
                <w:b w:val="0"/>
                <w:i w:val="0"/>
                <w:sz w:val="15"/>
              </w:rPr>
              <w:t>Hecatres Info.</w:t>
            </w:r>
          </w:p>
        </w:tc>
        <w:tc>
          <w:tcPr>
            <w:tcW w:type="dxa" w:w="3402"/>
          </w:tcPr>
          <w:p>
            <w:r/>
            <w:r>
              <w:rPr>
                <w:b w:val="0"/>
                <w:i w:val="0"/>
                <w:sz w:val="15"/>
              </w:rPr>
              <w:t>Hectares per grower-crop row (column name misspelt in the source). Raw total 92,030 ha vs about 10,000 ha market.</w:t>
            </w:r>
          </w:p>
        </w:tc>
        <w:tc>
          <w:tcPr>
            <w:tcW w:type="dxa" w:w="4195"/>
          </w:tcPr>
          <w:p>
            <w:r/>
            <w:r>
              <w:rPr>
                <w:b w:val="0"/>
                <w:i w:val="0"/>
                <w:sz w:val="15"/>
              </w:rPr>
              <w:t>Capped at 500 ha per row (32 rows) -&gt; grower_potential.hectares -&gt; above_grower_potential flag ceiling (38,724 ha capped).</w:t>
            </w:r>
          </w:p>
        </w:tc>
      </w:tr>
      <w:tr>
        <w:tc>
          <w:tcPr>
            <w:tcW w:type="dxa" w:w="2041"/>
          </w:tcPr>
          <w:p>
            <w:r/>
            <w:r>
              <w:rPr>
                <w:b w:val="0"/>
                <w:i w:val="0"/>
                <w:sz w:val="15"/>
              </w:rPr>
              <w:t>Density</w:t>
            </w:r>
          </w:p>
        </w:tc>
        <w:tc>
          <w:tcPr>
            <w:tcW w:type="dxa" w:w="3402"/>
          </w:tcPr>
          <w:p>
            <w:r/>
            <w:r>
              <w:rPr>
                <w:b w:val="0"/>
                <w:i w:val="0"/>
                <w:sz w:val="15"/>
              </w:rPr>
              <w:t>Plant density at grower level.</w:t>
            </w:r>
          </w:p>
        </w:tc>
        <w:tc>
          <w:tcPr>
            <w:tcW w:type="dxa" w:w="4195"/>
          </w:tcPr>
          <w:p>
            <w:r/>
            <w:r>
              <w:rPr>
                <w:b w:val="0"/>
                <w:i w:val="0"/>
                <w:sz w:val="15"/>
              </w:rPr>
              <w:t>grower_potential.density -&gt; stored.</w:t>
            </w:r>
          </w:p>
        </w:tc>
      </w:tr>
      <w:tr>
        <w:tc>
          <w:tcPr>
            <w:tcW w:type="dxa" w:w="2041"/>
          </w:tcPr>
          <w:p>
            <w:r/>
            <w:r>
              <w:rPr>
                <w:b w:val="0"/>
                <w:i w:val="0"/>
                <w:sz w:val="15"/>
              </w:rPr>
              <w:t>Region</w:t>
            </w:r>
          </w:p>
        </w:tc>
        <w:tc>
          <w:tcPr>
            <w:tcW w:type="dxa" w:w="3402"/>
          </w:tcPr>
          <w:p>
            <w:r/>
            <w:r>
              <w:rPr>
                <w:b w:val="0"/>
                <w:i w:val="0"/>
                <w:sz w:val="15"/>
              </w:rPr>
              <w:t>Sparse region labels (Med-Sur Almeria-Costas 69, Murcia 9 in scope).</w:t>
            </w:r>
          </w:p>
        </w:tc>
        <w:tc>
          <w:tcPr>
            <w:tcW w:type="dxa" w:w="4195"/>
          </w:tcPr>
          <w:p>
            <w:r/>
            <w:r>
              <w:rPr>
                <w:b w:val="0"/>
                <w:i w:val="0"/>
                <w:sz w:val="15"/>
              </w:rPr>
              <w:t>grower_potential.region -&gt; stored for context.</w:t>
            </w:r>
          </w:p>
        </w:tc>
      </w:tr>
      <w:tr>
        <w:tc>
          <w:tcPr>
            <w:tcW w:type="dxa" w:w="2041"/>
          </w:tcPr>
          <w:p>
            <w:r/>
            <w:r>
              <w:rPr>
                <w:b w:val="0"/>
                <w:i w:val="0"/>
                <w:sz w:val="15"/>
              </w:rPr>
              <w:t>Country Picklist</w:t>
            </w:r>
          </w:p>
        </w:tc>
        <w:tc>
          <w:tcPr>
            <w:tcW w:type="dxa" w:w="3402"/>
          </w:tcPr>
          <w:p>
            <w:r/>
            <w:r>
              <w:rPr>
                <w:b w:val="0"/>
                <w:i w:val="0"/>
                <w:sz w:val="15"/>
              </w:rPr>
              <w:t>Says IN / FR on 8,953 of 8,998 rows although every row is Spain.</w:t>
            </w:r>
          </w:p>
        </w:tc>
        <w:tc>
          <w:tcPr>
            <w:tcW w:type="dxa" w:w="4195"/>
          </w:tcPr>
          <w:p>
            <w:r/>
            <w:r>
              <w:rPr>
                <w:b w:val="0"/>
                <w:i w:val="0"/>
                <w:sz w:val="15"/>
              </w:rPr>
              <w:t>Data-quality check only.</w:t>
            </w:r>
          </w:p>
        </w:tc>
      </w:tr>
      <w:tr>
        <w:tc>
          <w:tcPr>
            <w:tcW w:type="dxa" w:w="2041"/>
          </w:tcPr>
          <w:p>
            <w:r/>
            <w:r>
              <w:rPr>
                <w:b w:val="0"/>
                <w:i w:val="0"/>
                <w:sz w:val="15"/>
              </w:rPr>
              <w:t>Grower Price (Local Currency), Total Addressable Market (Grower Price) + currency</w:t>
            </w:r>
          </w:p>
        </w:tc>
        <w:tc>
          <w:tcPr>
            <w:tcW w:type="dxa" w:w="3402"/>
          </w:tcPr>
          <w:p>
            <w:r/>
            <w:r>
              <w:rPr>
                <w:b w:val="0"/>
                <w:i w:val="0"/>
                <w:sz w:val="15"/>
              </w:rPr>
              <w:t>Completely empty.</w:t>
            </w:r>
          </w:p>
        </w:tc>
        <w:tc>
          <w:tcPr>
            <w:tcW w:type="dxa" w:w="4195"/>
          </w:tcPr>
          <w:p>
            <w:r/>
            <w:r>
              <w:rPr>
                <w:b w:val="0"/>
                <w:i w:val="0"/>
                <w:sz w:val="15"/>
              </w:rPr>
              <w:t>Data-quality check only.</w:t>
            </w:r>
          </w:p>
        </w:tc>
      </w:tr>
    </w:tbl>
    <w:p>
      <w:pPr>
        <w:spacing w:after="40"/>
      </w:pPr>
    </w:p>
    <w:p>
      <w:pPr>
        <w:pStyle w:val="Heading2"/>
      </w:pPr>
      <w:r>
        <w:t>12.5 Prod Hierarchy - complete</w:t>
      </w:r>
    </w:p>
    <w:p>
      <w:pPr>
        <w:spacing w:after="40"/>
      </w:pPr>
      <w:r>
        <w:rPr>
          <w:b/>
          <w:sz w:val="18"/>
        </w:rPr>
        <w:t>Table 19. Hierarchy elements used (tab: prod hierarchy)</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f_microSegment</w:t>
            </w:r>
          </w:p>
        </w:tc>
        <w:tc>
          <w:tcPr>
            <w:tcW w:type="dxa" w:w="3402"/>
          </w:tcPr>
          <w:p>
            <w:r/>
            <w:r>
              <w:rPr>
                <w:b w:val="0"/>
                <w:i w:val="0"/>
                <w:sz w:val="15"/>
              </w:rPr>
              <w:t>Master list of micro-segment IDs.</w:t>
            </w:r>
          </w:p>
        </w:tc>
        <w:tc>
          <w:tcPr>
            <w:tcW w:type="dxa" w:w="4195"/>
          </w:tcPr>
          <w:p>
            <w:r/>
            <w:r>
              <w:rPr>
                <w:b w:val="0"/>
                <w:i w:val="0"/>
                <w:sz w:val="15"/>
              </w:rPr>
              <w:t>segments.id.</w:t>
            </w:r>
          </w:p>
        </w:tc>
      </w:tr>
      <w:tr>
        <w:tc>
          <w:tcPr>
            <w:tcW w:type="dxa" w:w="2041"/>
          </w:tcPr>
          <w:p>
            <w:r/>
            <w:r>
              <w:rPr>
                <w:b w:val="0"/>
                <w:i w:val="0"/>
                <w:sz w:val="15"/>
              </w:rPr>
              <w:t>f_microSegmentDesc</w:t>
            </w:r>
          </w:p>
        </w:tc>
        <w:tc>
          <w:tcPr>
            <w:tcW w:type="dxa" w:w="3402"/>
          </w:tcPr>
          <w:p>
            <w:r/>
            <w:r>
              <w:rPr>
                <w:b w:val="0"/>
                <w:i w:val="0"/>
                <w:sz w:val="15"/>
              </w:rPr>
              <w:t>Canonical description; also the key for recovering missing sales IDs.</w:t>
            </w:r>
          </w:p>
        </w:tc>
        <w:tc>
          <w:tcPr>
            <w:tcW w:type="dxa" w:w="4195"/>
          </w:tcPr>
          <w:p>
            <w:r/>
            <w:r>
              <w:rPr>
                <w:b w:val="0"/>
                <w:i w:val="0"/>
                <w:sz w:val="15"/>
              </w:rPr>
              <w:t>segments.description; cycle profile derived from it (spring / autumn early / medium / late) -&gt; seasonal curve and segment label.</w:t>
            </w:r>
          </w:p>
        </w:tc>
      </w:tr>
      <w:tr>
        <w:tc>
          <w:tcPr>
            <w:tcW w:type="dxa" w:w="2041"/>
          </w:tcPr>
          <w:p>
            <w:r/>
            <w:r>
              <w:rPr>
                <w:b w:val="0"/>
                <w:i w:val="0"/>
                <w:sz w:val="15"/>
              </w:rPr>
              <w:t>f_megaSegmentDesc</w:t>
            </w:r>
          </w:p>
        </w:tc>
        <w:tc>
          <w:tcPr>
            <w:tcW w:type="dxa" w:w="3402"/>
          </w:tcPr>
          <w:p>
            <w:r/>
            <w:r>
              <w:rPr>
                <w:b w:val="0"/>
                <w:i w:val="0"/>
                <w:sz w:val="15"/>
              </w:rPr>
              <w:t>Defines the 18 micro-segments of Blocky PGH.</w:t>
            </w:r>
          </w:p>
        </w:tc>
        <w:tc>
          <w:tcPr>
            <w:tcW w:type="dxa" w:w="4195"/>
          </w:tcPr>
          <w:p>
            <w:r/>
            <w:r>
              <w:rPr>
                <w:b w:val="0"/>
                <w:i w:val="0"/>
                <w:sz w:val="15"/>
              </w:rPr>
              <w:t>Scope filter; segments.mega_segment_desc.</w:t>
            </w:r>
          </w:p>
        </w:tc>
      </w:tr>
      <w:tr>
        <w:tc>
          <w:tcPr>
            <w:tcW w:type="dxa" w:w="2041"/>
          </w:tcPr>
          <w:p>
            <w:r/>
            <w:r>
              <w:rPr>
                <w:b w:val="0"/>
                <w:i w:val="0"/>
                <w:sz w:val="15"/>
              </w:rPr>
              <w:t>Cycle</w:t>
            </w:r>
          </w:p>
        </w:tc>
        <w:tc>
          <w:tcPr>
            <w:tcW w:type="dxa" w:w="3402"/>
          </w:tcPr>
          <w:p>
            <w:r/>
            <w:r>
              <w:rPr>
                <w:b w:val="0"/>
                <w:i w:val="0"/>
                <w:sz w:val="15"/>
              </w:rPr>
              <w:t>Warm-to-cool vs cool-to-warm cycle.</w:t>
            </w:r>
          </w:p>
        </w:tc>
        <w:tc>
          <w:tcPr>
            <w:tcW w:type="dxa" w:w="4195"/>
          </w:tcPr>
          <w:p>
            <w:r/>
            <w:r>
              <w:rPr>
                <w:b w:val="0"/>
                <w:i w:val="0"/>
                <w:sz w:val="15"/>
              </w:rPr>
              <w:t>segments.cycle -&gt; display.</w:t>
            </w:r>
          </w:p>
        </w:tc>
      </w:tr>
      <w:tr>
        <w:tc>
          <w:tcPr>
            <w:tcW w:type="dxa" w:w="2041"/>
          </w:tcPr>
          <w:p>
            <w:r/>
            <w:r>
              <w:rPr>
                <w:b w:val="0"/>
                <w:i w:val="0"/>
                <w:sz w:val="15"/>
              </w:rPr>
              <w:t>Color</w:t>
            </w:r>
          </w:p>
        </w:tc>
        <w:tc>
          <w:tcPr>
            <w:tcW w:type="dxa" w:w="3402"/>
          </w:tcPr>
          <w:p>
            <w:r/>
            <w:r>
              <w:rPr>
                <w:b w:val="0"/>
                <w:i w:val="0"/>
                <w:sz w:val="15"/>
              </w:rPr>
              <w:t>Red / yellow / orange etc.</w:t>
            </w:r>
          </w:p>
        </w:tc>
        <w:tc>
          <w:tcPr>
            <w:tcW w:type="dxa" w:w="4195"/>
          </w:tcPr>
          <w:p>
            <w:r/>
            <w:r>
              <w:rPr>
                <w:b w:val="0"/>
                <w:i w:val="0"/>
                <w:sz w:val="15"/>
              </w:rPr>
              <w:t>segments.color -&gt; segment label and colour dot.</w:t>
            </w:r>
          </w:p>
        </w:tc>
      </w:tr>
      <w:tr>
        <w:tc>
          <w:tcPr>
            <w:tcW w:type="dxa" w:w="2041"/>
          </w:tcPr>
          <w:p>
            <w:r/>
            <w:r>
              <w:rPr>
                <w:b w:val="0"/>
                <w:i w:val="0"/>
                <w:sz w:val="15"/>
              </w:rPr>
              <w:t>Ecology Desc</w:t>
            </w:r>
          </w:p>
        </w:tc>
        <w:tc>
          <w:tcPr>
            <w:tcW w:type="dxa" w:w="3402"/>
          </w:tcPr>
          <w:p>
            <w:r/>
            <w:r>
              <w:rPr>
                <w:b w:val="0"/>
                <w:i w:val="0"/>
                <w:sz w:val="15"/>
              </w:rPr>
              <w:t>Passive greenhouse.</w:t>
            </w:r>
          </w:p>
        </w:tc>
        <w:tc>
          <w:tcPr>
            <w:tcW w:type="dxa" w:w="4195"/>
          </w:tcPr>
          <w:p>
            <w:r/>
            <w:r>
              <w:rPr>
                <w:b w:val="0"/>
                <w:i w:val="0"/>
                <w:sz w:val="15"/>
              </w:rPr>
              <w:t>segments.ecology -&gt; display.</w:t>
            </w:r>
          </w:p>
        </w:tc>
      </w:tr>
      <w:tr>
        <w:tc>
          <w:tcPr>
            <w:tcW w:type="dxa" w:w="2041"/>
          </w:tcPr>
          <w:p>
            <w:r/>
            <w:r>
              <w:rPr>
                <w:b w:val="0"/>
                <w:i w:val="0"/>
                <w:sz w:val="15"/>
              </w:rPr>
              <w:t>Tabs examples, 5yrSales, MAPS, MAPS (2)</w:t>
            </w:r>
          </w:p>
        </w:tc>
        <w:tc>
          <w:tcPr>
            <w:tcW w:type="dxa" w:w="3402"/>
          </w:tcPr>
          <w:p>
            <w:r/>
            <w:r>
              <w:rPr>
                <w:b w:val="0"/>
                <w:i w:val="0"/>
                <w:sz w:val="15"/>
              </w:rPr>
              <w:t>Show naming mismatches between market and 5-year plan.</w:t>
            </w:r>
          </w:p>
        </w:tc>
        <w:tc>
          <w:tcPr>
            <w:tcW w:type="dxa" w:w="4195"/>
          </w:tcPr>
          <w:p>
            <w:r/>
            <w:r>
              <w:rPr>
                <w:b w:val="0"/>
                <w:i w:val="0"/>
                <w:sz w:val="15"/>
              </w:rPr>
              <w:t>Row counts reported; not loaded because joins use IDs.</w:t>
            </w:r>
          </w:p>
        </w:tc>
      </w:tr>
    </w:tbl>
    <w:p>
      <w:pPr>
        <w:spacing w:after="40"/>
      </w:pPr>
    </w:p>
    <w:p>
      <w:pPr>
        <w:pStyle w:val="Heading2"/>
      </w:pPr>
      <w:r>
        <w:t>12.6 Spain Geo</w:t>
      </w:r>
    </w:p>
    <w:p>
      <w:pPr>
        <w:spacing w:after="40"/>
      </w:pPr>
      <w:r>
        <w:rPr>
          <w:b/>
          <w:sz w:val="18"/>
        </w:rPr>
        <w:t>Table 20. Geo elements used</w:t>
      </w:r>
    </w:p>
    <w:tbl>
      <w:tblPr>
        <w:tblStyle w:val="LightGrid-Accent1"/>
        <w:tblW w:type="auto" w:w="0"/>
        <w:jc w:val="center"/>
        <w:tblLook w:firstColumn="1" w:firstRow="1" w:lastColumn="0" w:lastRow="0" w:noHBand="0" w:noVBand="1" w:val="04A0"/>
      </w:tblPr>
      <w:tblGrid>
        <w:gridCol w:w="3213"/>
        <w:gridCol w:w="3213"/>
        <w:gridCol w:w="3213"/>
      </w:tblGrid>
      <w:tr>
        <w:tc>
          <w:tcPr>
            <w:tcW w:type="dxa" w:w="2041"/>
          </w:tcPr>
          <w:p>
            <w:r/>
            <w:r>
              <w:rPr>
                <w:b/>
                <w:sz w:val="15"/>
              </w:rPr>
              <w:t>Data element (column)</w:t>
            </w:r>
          </w:p>
        </w:tc>
        <w:tc>
          <w:tcPr>
            <w:tcW w:type="dxa" w:w="3402"/>
          </w:tcPr>
          <w:p>
            <w:r/>
            <w:r>
              <w:rPr>
                <w:b/>
                <w:sz w:val="15"/>
              </w:rPr>
              <w:t>Why it is used</w:t>
            </w:r>
          </w:p>
        </w:tc>
        <w:tc>
          <w:tcPr>
            <w:tcW w:type="dxa" w:w="4195"/>
          </w:tcPr>
          <w:p>
            <w:r/>
            <w:r>
              <w:rPr>
                <w:b/>
                <w:sz w:val="15"/>
              </w:rPr>
              <w:t>How it is used (stored as -&gt; used by)</w:t>
            </w:r>
          </w:p>
        </w:tc>
      </w:tr>
      <w:tr>
        <w:tc>
          <w:tcPr>
            <w:tcW w:type="dxa" w:w="2041"/>
          </w:tcPr>
          <w:p>
            <w:r/>
            <w:r>
              <w:rPr>
                <w:b w:val="0"/>
                <w:i w:val="0"/>
                <w:sz w:val="15"/>
              </w:rPr>
              <w:t>State (City tab)</w:t>
            </w:r>
          </w:p>
        </w:tc>
        <w:tc>
          <w:tcPr>
            <w:tcW w:type="dxa" w:w="3402"/>
          </w:tcPr>
          <w:p>
            <w:r/>
            <w:r>
              <w:rPr>
                <w:b w:val="0"/>
                <w:i w:val="0"/>
                <w:sz w:val="15"/>
              </w:rPr>
              <w:t>Pivot export mixing provinces and regions, with 'Total' subtotal rows.</w:t>
            </w:r>
          </w:p>
        </w:tc>
        <w:tc>
          <w:tcPr>
            <w:tcW w:type="dxa" w:w="4195"/>
          </w:tcPr>
          <w:p>
            <w:r/>
            <w:r>
              <w:rPr>
                <w:b w:val="0"/>
                <w:i w:val="0"/>
                <w:sz w:val="15"/>
              </w:rPr>
              <w:t>Data-quality counts: 761 rows, 62 subtotal rows, 61 provinces/regions. Geographic roll-up is out of scope.</w:t>
            </w:r>
          </w:p>
        </w:tc>
      </w:tr>
      <w:tr>
        <w:tc>
          <w:tcPr>
            <w:tcW w:type="dxa" w:w="2041"/>
          </w:tcPr>
          <w:p>
            <w:r/>
            <w:r>
              <w:rPr>
                <w:b w:val="0"/>
                <w:i w:val="0"/>
                <w:sz w:val="15"/>
              </w:rPr>
              <w:t>Address (Postal Code) (Pincode tab)</w:t>
            </w:r>
          </w:p>
        </w:tc>
        <w:tc>
          <w:tcPr>
            <w:tcW w:type="dxa" w:w="3402"/>
          </w:tcPr>
          <w:p>
            <w:r/>
            <w:r>
              <w:rPr>
                <w:b w:val="0"/>
                <w:i w:val="0"/>
                <w:sz w:val="15"/>
              </w:rPr>
              <w:t>1,222 postcodes lost their leading zero (e.g. 2007 instead of 02007).</w:t>
            </w:r>
          </w:p>
        </w:tc>
        <w:tc>
          <w:tcPr>
            <w:tcW w:type="dxa" w:w="4195"/>
          </w:tcPr>
          <w:p>
            <w:r/>
            <w:r>
              <w:rPr>
                <w:b w:val="0"/>
                <w:i w:val="0"/>
                <w:sz w:val="15"/>
              </w:rPr>
              <w:t>Data-quality count only.</w:t>
            </w:r>
          </w:p>
        </w:tc>
      </w:tr>
    </w:tbl>
    <w:p>
      <w:pPr>
        <w:spacing w:after="40"/>
      </w:pPr>
    </w:p>
    <w:p>
      <w:pPr>
        <w:pStyle w:val="Heading1"/>
      </w:pPr>
      <w:r>
        <w:t>13. Data elements deliberately not used</w:t>
      </w:r>
    </w:p>
    <w:p>
      <w:pPr>
        <w:spacing w:after="40"/>
      </w:pPr>
      <w:r>
        <w:rPr>
          <w:b/>
          <w:sz w:val="18"/>
        </w:rPr>
        <w:t>Table 21. Unused columns and why</w:t>
      </w:r>
    </w:p>
    <w:tbl>
      <w:tblPr>
        <w:tblStyle w:val="LightGrid-Accent1"/>
        <w:tblW w:type="auto" w:w="0"/>
        <w:jc w:val="center"/>
        <w:tblLook w:firstColumn="1" w:firstRow="1" w:lastColumn="0" w:lastRow="0" w:noHBand="0" w:noVBand="1" w:val="04A0"/>
      </w:tblPr>
      <w:tblGrid>
        <w:gridCol w:w="3213"/>
        <w:gridCol w:w="3213"/>
        <w:gridCol w:w="3213"/>
      </w:tblGrid>
      <w:tr>
        <w:tc>
          <w:tcPr>
            <w:tcW w:type="dxa" w:w="1474"/>
          </w:tcPr>
          <w:p>
            <w:r/>
            <w:r>
              <w:rPr>
                <w:b/>
                <w:sz w:val="15"/>
              </w:rPr>
              <w:t>Workbook</w:t>
            </w:r>
          </w:p>
        </w:tc>
        <w:tc>
          <w:tcPr>
            <w:tcW w:type="dxa" w:w="4762"/>
          </w:tcPr>
          <w:p>
            <w:r/>
            <w:r>
              <w:rPr>
                <w:b/>
                <w:sz w:val="15"/>
              </w:rPr>
              <w:t>Columns</w:t>
            </w:r>
          </w:p>
        </w:tc>
        <w:tc>
          <w:tcPr>
            <w:tcW w:type="dxa" w:w="3402"/>
          </w:tcPr>
          <w:p>
            <w:r/>
            <w:r>
              <w:rPr>
                <w:b/>
                <w:sz w:val="15"/>
              </w:rPr>
              <w:t>Reason</w:t>
            </w:r>
          </w:p>
        </w:tc>
      </w:tr>
      <w:tr>
        <w:tc>
          <w:tcPr>
            <w:tcW w:type="dxa" w:w="1474"/>
          </w:tcPr>
          <w:p>
            <w:r/>
            <w:r>
              <w:rPr>
                <w:b w:val="0"/>
                <w:i w:val="0"/>
                <w:sz w:val="15"/>
              </w:rPr>
              <w:t>Market</w:t>
            </w:r>
          </w:p>
        </w:tc>
        <w:tc>
          <w:tcPr>
            <w:tcW w:type="dxa" w:w="4762"/>
          </w:tcPr>
          <w:p>
            <w:r/>
            <w:r>
              <w:rPr>
                <w:b w:val="0"/>
                <w:i w:val="0"/>
                <w:sz w:val="15"/>
              </w:rPr>
              <w:t>Title, Territory, CU, GCU, Species, Micro Segment Desc, Macro Segment, Product Type2, Ecology Desc, Mega Segment (code), Multiplication Indicator, System, SalesArea_ComUnit, Compliance Asset Id, ID, Created, Created By, Modified By, UpdateControl, Item Type</w:t>
            </w:r>
          </w:p>
        </w:tc>
        <w:tc>
          <w:tcPr>
            <w:tcW w:type="dxa" w:w="3402"/>
          </w:tcPr>
          <w:p>
            <w:r/>
            <w:r>
              <w:rPr>
                <w:b w:val="0"/>
                <w:i w:val="0"/>
                <w:sz w:val="15"/>
              </w:rPr>
              <w:t>Constant within the locked scope, duplicated by the hierarchy (descriptions, ecology), or SharePoint metadata.</w:t>
            </w:r>
          </w:p>
        </w:tc>
      </w:tr>
      <w:tr>
        <w:tc>
          <w:tcPr>
            <w:tcW w:type="dxa" w:w="1474"/>
          </w:tcPr>
          <w:p>
            <w:r/>
            <w:r>
              <w:rPr>
                <w:b w:val="0"/>
                <w:i w:val="0"/>
                <w:sz w:val="15"/>
              </w:rPr>
              <w:t>Sales</w:t>
            </w:r>
          </w:p>
        </w:tc>
        <w:tc>
          <w:tcPr>
            <w:tcW w:type="dxa" w:w="4762"/>
          </w:tcPr>
          <w:p>
            <w:r/>
            <w:r>
              <w:rPr>
                <w:b w:val="0"/>
                <w:i w:val="0"/>
                <w:sz w:val="15"/>
              </w:rPr>
              <w:t>ID, New Region, ComUnit_BusArea, Country ISO2, Destination ID, Species, Mega Segment, mega_segment_id, Avg Net Price, Created, Created By, Modified, Item Type, Path</w:t>
            </w:r>
          </w:p>
        </w:tc>
        <w:tc>
          <w:tcPr>
            <w:tcW w:type="dxa" w:w="3402"/>
          </w:tcPr>
          <w:p>
            <w:r/>
            <w:r>
              <w:rPr>
                <w:b w:val="0"/>
                <w:i w:val="0"/>
                <w:sz w:val="15"/>
              </w:rPr>
              <w:t>Metadata or constant. Avg Net Price is recomputed as value / quantity so it stays consistent with the anonymized figures.</w:t>
            </w:r>
          </w:p>
        </w:tc>
      </w:tr>
      <w:tr>
        <w:tc>
          <w:tcPr>
            <w:tcW w:type="dxa" w:w="1474"/>
          </w:tcPr>
          <w:p>
            <w:r/>
            <w:r>
              <w:rPr>
                <w:b w:val="0"/>
                <w:i w:val="0"/>
                <w:sz w:val="15"/>
              </w:rPr>
              <w:t>Competitors</w:t>
            </w:r>
          </w:p>
        </w:tc>
        <w:tc>
          <w:tcPr>
            <w:tcW w:type="dxa" w:w="4762"/>
          </w:tcPr>
          <w:p>
            <w:r/>
            <w:r>
              <w:rPr>
                <w:b w:val="0"/>
                <w:i w:val="0"/>
                <w:sz w:val="15"/>
              </w:rPr>
              <w:t>Title, Forecast Customer Country_D, SalesArea_ComUnit, Species, Mega_Segment_Desc, GrowthRate%, Product, ResearchDevelopment, GTM_Channel, GTM_Promotion, GTM_Price, Created/Modified metadata</w:t>
            </w:r>
          </w:p>
        </w:tc>
        <w:tc>
          <w:tcPr>
            <w:tcW w:type="dxa" w:w="3402"/>
          </w:tcPr>
          <w:p>
            <w:r/>
            <w:r>
              <w:rPr>
                <w:b w:val="0"/>
                <w:i w:val="0"/>
                <w:sz w:val="15"/>
              </w:rPr>
              <w:t>Sparse free text or metadata; GrowthRate% is implied by the yearly shares.</w:t>
            </w:r>
          </w:p>
        </w:tc>
      </w:tr>
      <w:tr>
        <w:tc>
          <w:tcPr>
            <w:tcW w:type="dxa" w:w="1474"/>
          </w:tcPr>
          <w:p>
            <w:r/>
            <w:r>
              <w:rPr>
                <w:b w:val="0"/>
                <w:i w:val="0"/>
                <w:sz w:val="15"/>
              </w:rPr>
              <w:t>Grower Potential</w:t>
            </w:r>
          </w:p>
        </w:tc>
        <w:tc>
          <w:tcPr>
            <w:tcW w:type="dxa" w:w="4762"/>
          </w:tcPr>
          <w:p>
            <w:r/>
            <w:r>
              <w:rPr>
                <w:b w:val="0"/>
                <w:i w:val="0"/>
                <w:sz w:val="15"/>
              </w:rPr>
              <w:t>SP Season, Crop: RefData Name, UoM, Quantity, Data Source, Irrigation Qty, BioPotential SE (+ currency), Type, Type Of Culture, BU, DB Region, Country Name, Region Name</w:t>
            </w:r>
          </w:p>
        </w:tc>
        <w:tc>
          <w:tcPr>
            <w:tcW w:type="dxa" w:w="3402"/>
          </w:tcPr>
          <w:p>
            <w:r/>
            <w:r>
              <w:rPr>
                <w:b w:val="0"/>
                <w:i w:val="0"/>
                <w:sz w:val="15"/>
              </w:rPr>
              <w:t>Constant (ES_VE2026, Open Field, Vegetable, Western Europe); Quantity and Irrigation Qty track hectares but in mixed units (UoM varies: country land unit, hectares, kilo seeds); 99.9% 'Rollover' source; or an unexplained EUR metric with extreme outliers (BioPotential up to 3.35bn).</w:t>
            </w:r>
          </w:p>
        </w:tc>
      </w:tr>
      <w:tr>
        <w:tc>
          <w:tcPr>
            <w:tcW w:type="dxa" w:w="1474"/>
          </w:tcPr>
          <w:p>
            <w:r/>
            <w:r>
              <w:rPr>
                <w:b w:val="0"/>
                <w:i w:val="0"/>
                <w:sz w:val="15"/>
              </w:rPr>
              <w:t>Prod Hierarchy</w:t>
            </w:r>
          </w:p>
        </w:tc>
        <w:tc>
          <w:tcPr>
            <w:tcW w:type="dxa" w:w="4762"/>
          </w:tcPr>
          <w:p>
            <w:r/>
            <w:r>
              <w:rPr>
                <w:b w:val="0"/>
                <w:i w:val="0"/>
                <w:sz w:val="15"/>
              </w:rPr>
              <w:t>Rename-history columns (2021-2025), codes (Macro/Cycle/Color/Destination/Species/Product Type), t_* and 5yr Sales Plan mapping columns</w:t>
            </w:r>
          </w:p>
        </w:tc>
        <w:tc>
          <w:tcPr>
            <w:tcW w:type="dxa" w:w="3402"/>
          </w:tcPr>
          <w:p>
            <w:r/>
            <w:r>
              <w:rPr>
                <w:b w:val="0"/>
                <w:i w:val="0"/>
                <w:sz w:val="15"/>
              </w:rPr>
              <w:t>Needed only for name-based joins; the app joins on IDs.</w:t>
            </w:r>
          </w:p>
        </w:tc>
      </w:tr>
      <w:tr>
        <w:tc>
          <w:tcPr>
            <w:tcW w:type="dxa" w:w="1474"/>
          </w:tcPr>
          <w:p>
            <w:r/>
            <w:r>
              <w:rPr>
                <w:b w:val="0"/>
                <w:i w:val="0"/>
                <w:sz w:val="15"/>
              </w:rPr>
              <w:t>Spain Geo</w:t>
            </w:r>
          </w:p>
        </w:tc>
        <w:tc>
          <w:tcPr>
            <w:tcW w:type="dxa" w:w="4762"/>
          </w:tcPr>
          <w:p>
            <w:r/>
            <w:r>
              <w:rPr>
                <w:b w:val="0"/>
                <w:i w:val="0"/>
                <w:sz w:val="15"/>
              </w:rPr>
              <w:t>City, Street</w:t>
            </w:r>
          </w:p>
        </w:tc>
        <w:tc>
          <w:tcPr>
            <w:tcW w:type="dxa" w:w="3402"/>
          </w:tcPr>
          <w:p>
            <w:r/>
            <w:r>
              <w:rPr>
                <w:b w:val="0"/>
                <w:i w:val="0"/>
                <w:sz w:val="15"/>
              </w:rPr>
              <w:t>Territory and geographic roll-up are out of scope.</w:t>
            </w:r>
          </w:p>
        </w:tc>
      </w:tr>
    </w:tbl>
    <w:p>
      <w:pPr>
        <w:spacing w:after="40"/>
      </w:pPr>
    </w:p>
    <w:p>
      <w:pPr>
        <w:pStyle w:val="Heading1"/>
      </w:pPr>
      <w:r>
        <w:t>14. Data quality findings and cleaning rules</w:t>
      </w:r>
    </w:p>
    <w:p>
      <w:pPr>
        <w:spacing w:after="40"/>
      </w:pPr>
      <w:r>
        <w:rPr>
          <w:b/>
          <w:sz w:val="18"/>
        </w:rPr>
        <w:t>Table 22. Data-quality findings (from ingest_report.json)</w:t>
      </w:r>
    </w:p>
    <w:tbl>
      <w:tblPr>
        <w:tblStyle w:val="LightGrid-Accent1"/>
        <w:tblW w:type="auto" w:w="0"/>
        <w:jc w:val="center"/>
        <w:tblLook w:firstColumn="1" w:firstRow="1" w:lastColumn="0" w:lastRow="0" w:noHBand="0" w:noVBand="1" w:val="04A0"/>
      </w:tblPr>
      <w:tblGrid>
        <w:gridCol w:w="3213"/>
        <w:gridCol w:w="3213"/>
        <w:gridCol w:w="3213"/>
      </w:tblGrid>
      <w:tr>
        <w:tc>
          <w:tcPr>
            <w:tcW w:type="dxa" w:w="2948"/>
          </w:tcPr>
          <w:p>
            <w:r/>
            <w:r>
              <w:rPr>
                <w:b/>
                <w:sz w:val="16"/>
              </w:rPr>
              <w:t>Finding</w:t>
            </w:r>
          </w:p>
        </w:tc>
        <w:tc>
          <w:tcPr>
            <w:tcW w:type="dxa" w:w="2835"/>
          </w:tcPr>
          <w:p>
            <w:r/>
            <w:r>
              <w:rPr>
                <w:b/>
                <w:sz w:val="16"/>
              </w:rPr>
              <w:t>Count</w:t>
            </w:r>
          </w:p>
        </w:tc>
        <w:tc>
          <w:tcPr>
            <w:tcW w:type="dxa" w:w="3855"/>
          </w:tcPr>
          <w:p>
            <w:r/>
            <w:r>
              <w:rPr>
                <w:b/>
                <w:sz w:val="16"/>
              </w:rPr>
              <w:t>Rule applied</w:t>
            </w:r>
          </w:p>
        </w:tc>
      </w:tr>
      <w:tr>
        <w:tc>
          <w:tcPr>
            <w:tcW w:type="dxa" w:w="2948"/>
          </w:tcPr>
          <w:p>
            <w:r/>
            <w:r>
              <w:rPr>
                <w:b w:val="0"/>
                <w:i w:val="0"/>
                <w:sz w:val="16"/>
              </w:rPr>
              <w:t>Two Sales files byte-identical</w:t>
            </w:r>
          </w:p>
        </w:tc>
        <w:tc>
          <w:tcPr>
            <w:tcW w:type="dxa" w:w="2835"/>
          </w:tcPr>
          <w:p>
            <w:r/>
            <w:r>
              <w:rPr>
                <w:b w:val="0"/>
                <w:i w:val="0"/>
                <w:sz w:val="16"/>
              </w:rPr>
              <w:t>MD5 equal</w:t>
            </w:r>
          </w:p>
        </w:tc>
        <w:tc>
          <w:tcPr>
            <w:tcW w:type="dxa" w:w="3855"/>
          </w:tcPr>
          <w:p>
            <w:r/>
            <w:r>
              <w:rPr>
                <w:b w:val="0"/>
                <w:i w:val="0"/>
                <w:sz w:val="16"/>
              </w:rPr>
              <w:t>Load one copy.</w:t>
            </w:r>
          </w:p>
        </w:tc>
      </w:tr>
      <w:tr>
        <w:tc>
          <w:tcPr>
            <w:tcW w:type="dxa" w:w="2948"/>
          </w:tcPr>
          <w:p>
            <w:r/>
            <w:r>
              <w:rPr>
                <w:b w:val="0"/>
                <w:i w:val="0"/>
                <w:sz w:val="16"/>
              </w:rPr>
              <w:t>Market duplicate micro-segment/year pairs</w:t>
            </w:r>
          </w:p>
        </w:tc>
        <w:tc>
          <w:tcPr>
            <w:tcW w:type="dxa" w:w="2835"/>
          </w:tcPr>
          <w:p>
            <w:r/>
            <w:r>
              <w:rPr>
                <w:b w:val="0"/>
                <w:i w:val="0"/>
                <w:sz w:val="16"/>
              </w:rPr>
              <w:t>821 pairs (232 conflicting), 823 rows removed</w:t>
            </w:r>
          </w:p>
        </w:tc>
        <w:tc>
          <w:tcPr>
            <w:tcW w:type="dxa" w:w="3855"/>
          </w:tcPr>
          <w:p>
            <w:r/>
            <w:r>
              <w:rPr>
                <w:b w:val="0"/>
                <w:i w:val="0"/>
                <w:sz w:val="16"/>
              </w:rPr>
              <w:t>Keep latest Modified.</w:t>
            </w:r>
          </w:p>
        </w:tc>
      </w:tr>
      <w:tr>
        <w:tc>
          <w:tcPr>
            <w:tcW w:type="dxa" w:w="2948"/>
          </w:tcPr>
          <w:p>
            <w:r/>
            <w:r>
              <w:rPr>
                <w:b w:val="0"/>
                <w:i w:val="0"/>
                <w:sz w:val="16"/>
              </w:rPr>
              <w:t>Market qty = hectares x density</w:t>
            </w:r>
          </w:p>
        </w:tc>
        <w:tc>
          <w:tcPr>
            <w:tcW w:type="dxa" w:w="2835"/>
          </w:tcPr>
          <w:p>
            <w:r/>
            <w:r>
              <w:rPr>
                <w:b w:val="0"/>
                <w:i w:val="0"/>
                <w:sz w:val="16"/>
              </w:rPr>
              <w:t>994 of 994 rows</w:t>
            </w:r>
          </w:p>
        </w:tc>
        <w:tc>
          <w:tcPr>
            <w:tcW w:type="dxa" w:w="3855"/>
          </w:tcPr>
          <w:p>
            <w:r/>
            <w:r>
              <w:rPr>
                <w:b w:val="0"/>
                <w:i w:val="0"/>
                <w:sz w:val="16"/>
              </w:rPr>
              <w:t>Relationship used for implied hectares.</w:t>
            </w:r>
          </w:p>
        </w:tc>
      </w:tr>
      <w:tr>
        <w:tc>
          <w:tcPr>
            <w:tcW w:type="dxa" w:w="2948"/>
          </w:tcPr>
          <w:p>
            <w:r/>
            <w:r>
              <w:rPr>
                <w:b w:val="0"/>
                <w:i w:val="0"/>
                <w:sz w:val="16"/>
              </w:rPr>
              <w:t>Sales rows without micro-segment ID</w:t>
            </w:r>
          </w:p>
        </w:tc>
        <w:tc>
          <w:tcPr>
            <w:tcW w:type="dxa" w:w="2835"/>
          </w:tcPr>
          <w:p>
            <w:r/>
            <w:r>
              <w:rPr>
                <w:b w:val="0"/>
                <w:i w:val="0"/>
                <w:sz w:val="16"/>
              </w:rPr>
              <w:t>40</w:t>
            </w:r>
          </w:p>
        </w:tc>
        <w:tc>
          <w:tcPr>
            <w:tcW w:type="dxa" w:w="3855"/>
          </w:tcPr>
          <w:p>
            <w:r/>
            <w:r>
              <w:rPr>
                <w:b w:val="0"/>
                <w:i w:val="0"/>
                <w:sz w:val="16"/>
              </w:rPr>
              <w:t>5 recovered by whitespace-normalized description, 35 dropped.</w:t>
            </w:r>
          </w:p>
        </w:tc>
      </w:tr>
      <w:tr>
        <w:tc>
          <w:tcPr>
            <w:tcW w:type="dxa" w:w="2948"/>
          </w:tcPr>
          <w:p>
            <w:r/>
            <w:r>
              <w:rPr>
                <w:b w:val="0"/>
                <w:i w:val="0"/>
                <w:sz w:val="16"/>
              </w:rPr>
              <w:t>Sales rows without quantity</w:t>
            </w:r>
          </w:p>
        </w:tc>
        <w:tc>
          <w:tcPr>
            <w:tcW w:type="dxa" w:w="2835"/>
          </w:tcPr>
          <w:p>
            <w:r/>
            <w:r>
              <w:rPr>
                <w:b w:val="0"/>
                <w:i w:val="0"/>
                <w:sz w:val="16"/>
              </w:rPr>
              <w:t>55</w:t>
            </w:r>
          </w:p>
        </w:tc>
        <w:tc>
          <w:tcPr>
            <w:tcW w:type="dxa" w:w="3855"/>
          </w:tcPr>
          <w:p>
            <w:r/>
            <w:r>
              <w:rPr>
                <w:b w:val="0"/>
                <w:i w:val="0"/>
                <w:sz w:val="16"/>
              </w:rPr>
              <w:t>Treated as zero when aggregating.</w:t>
            </w:r>
          </w:p>
        </w:tc>
      </w:tr>
      <w:tr>
        <w:tc>
          <w:tcPr>
            <w:tcW w:type="dxa" w:w="2948"/>
          </w:tcPr>
          <w:p>
            <w:r/>
            <w:r>
              <w:rPr>
                <w:b w:val="0"/>
                <w:i w:val="0"/>
                <w:sz w:val="16"/>
              </w:rPr>
              <w:t>Country spelled SPAIN</w:t>
            </w:r>
          </w:p>
        </w:tc>
        <w:tc>
          <w:tcPr>
            <w:tcW w:type="dxa" w:w="2835"/>
          </w:tcPr>
          <w:p>
            <w:r/>
            <w:r>
              <w:rPr>
                <w:b w:val="0"/>
                <w:i w:val="0"/>
                <w:sz w:val="16"/>
              </w:rPr>
              <w:t>205</w:t>
            </w:r>
          </w:p>
        </w:tc>
        <w:tc>
          <w:tcPr>
            <w:tcW w:type="dxa" w:w="3855"/>
          </w:tcPr>
          <w:p>
            <w:r/>
            <w:r>
              <w:rPr>
                <w:b w:val="0"/>
                <w:i w:val="0"/>
                <w:sz w:val="16"/>
              </w:rPr>
              <w:t>Normalized to Spain.</w:t>
            </w:r>
          </w:p>
        </w:tc>
      </w:tr>
      <w:tr>
        <w:tc>
          <w:tcPr>
            <w:tcW w:type="dxa" w:w="2948"/>
          </w:tcPr>
          <w:p>
            <w:r/>
            <w:r>
              <w:rPr>
                <w:b w:val="0"/>
                <w:i w:val="0"/>
                <w:sz w:val="16"/>
              </w:rPr>
              <w:t>Competitor shares summing to 100</w:t>
            </w:r>
          </w:p>
        </w:tc>
        <w:tc>
          <w:tcPr>
            <w:tcW w:type="dxa" w:w="2835"/>
          </w:tcPr>
          <w:p>
            <w:r/>
            <w:r>
              <w:rPr>
                <w:b w:val="0"/>
                <w:i w:val="0"/>
                <w:sz w:val="16"/>
              </w:rPr>
              <w:t>80 of 87 mega-segments</w:t>
            </w:r>
          </w:p>
        </w:tc>
        <w:tc>
          <w:tcPr>
            <w:tcW w:type="dxa" w:w="3855"/>
          </w:tcPr>
          <w:p>
            <w:r/>
            <w:r>
              <w:rPr>
                <w:b w:val="0"/>
                <w:i w:val="0"/>
                <w:sz w:val="16"/>
              </w:rPr>
              <w:t>Syngenta recomputed; others rescaled to sum to 100.</w:t>
            </w:r>
          </w:p>
        </w:tc>
      </w:tr>
      <w:tr>
        <w:tc>
          <w:tcPr>
            <w:tcW w:type="dxa" w:w="2948"/>
          </w:tcPr>
          <w:p>
            <w:r/>
            <w:r>
              <w:rPr>
                <w:b w:val="0"/>
                <w:i w:val="0"/>
                <w:sz w:val="16"/>
              </w:rPr>
              <w:t>Grower country picklist wrong (IN/FR)</w:t>
            </w:r>
          </w:p>
        </w:tc>
        <w:tc>
          <w:tcPr>
            <w:tcW w:type="dxa" w:w="2835"/>
          </w:tcPr>
          <w:p>
            <w:r/>
            <w:r>
              <w:rPr>
                <w:b w:val="0"/>
                <w:i w:val="0"/>
                <w:sz w:val="16"/>
              </w:rPr>
              <w:t>8,953 of 8,998</w:t>
            </w:r>
          </w:p>
        </w:tc>
        <w:tc>
          <w:tcPr>
            <w:tcW w:type="dxa" w:w="3855"/>
          </w:tcPr>
          <w:p>
            <w:r/>
            <w:r>
              <w:rPr>
                <w:b w:val="0"/>
                <w:i w:val="0"/>
                <w:sz w:val="16"/>
              </w:rPr>
              <w:t>Ignored; Country Name used.</w:t>
            </w:r>
          </w:p>
        </w:tc>
      </w:tr>
      <w:tr>
        <w:tc>
          <w:tcPr>
            <w:tcW w:type="dxa" w:w="2948"/>
          </w:tcPr>
          <w:p>
            <w:r/>
            <w:r>
              <w:rPr>
                <w:b w:val="0"/>
                <w:i w:val="0"/>
                <w:sz w:val="16"/>
              </w:rPr>
              <w:t>Grower region missing</w:t>
            </w:r>
          </w:p>
        </w:tc>
        <w:tc>
          <w:tcPr>
            <w:tcW w:type="dxa" w:w="2835"/>
          </w:tcPr>
          <w:p>
            <w:r/>
            <w:r>
              <w:rPr>
                <w:b w:val="0"/>
                <w:i w:val="0"/>
                <w:sz w:val="16"/>
              </w:rPr>
              <w:t>80.5%</w:t>
            </w:r>
          </w:p>
        </w:tc>
        <w:tc>
          <w:tcPr>
            <w:tcW w:type="dxa" w:w="3855"/>
          </w:tcPr>
          <w:p>
            <w:r/>
            <w:r>
              <w:rPr>
                <w:b w:val="0"/>
                <w:i w:val="0"/>
                <w:sz w:val="16"/>
              </w:rPr>
              <w:t>Region kept as optional context.</w:t>
            </w:r>
          </w:p>
        </w:tc>
      </w:tr>
      <w:tr>
        <w:tc>
          <w:tcPr>
            <w:tcW w:type="dxa" w:w="2948"/>
          </w:tcPr>
          <w:p>
            <w:r/>
            <w:r>
              <w:rPr>
                <w:b w:val="0"/>
                <w:i w:val="0"/>
                <w:sz w:val="16"/>
              </w:rPr>
              <w:t>Grower empty columns</w:t>
            </w:r>
          </w:p>
        </w:tc>
        <w:tc>
          <w:tcPr>
            <w:tcW w:type="dxa" w:w="2835"/>
          </w:tcPr>
          <w:p>
            <w:r/>
            <w:r>
              <w:rPr>
                <w:b w:val="0"/>
                <w:i w:val="0"/>
                <w:sz w:val="16"/>
              </w:rPr>
              <w:t>Grower Price (Local Currency), Total Addressable Market (Grower Price) Currency, Total Addressable Market (Grower Price)</w:t>
            </w:r>
          </w:p>
        </w:tc>
        <w:tc>
          <w:tcPr>
            <w:tcW w:type="dxa" w:w="3855"/>
          </w:tcPr>
          <w:p>
            <w:r/>
            <w:r>
              <w:rPr>
                <w:b w:val="0"/>
                <w:i w:val="0"/>
                <w:sz w:val="16"/>
              </w:rPr>
              <w:t>Ignored.</w:t>
            </w:r>
          </w:p>
        </w:tc>
      </w:tr>
      <w:tr>
        <w:tc>
          <w:tcPr>
            <w:tcW w:type="dxa" w:w="2948"/>
          </w:tcPr>
          <w:p>
            <w:r/>
            <w:r>
              <w:rPr>
                <w:b w:val="0"/>
                <w:i w:val="0"/>
                <w:sz w:val="16"/>
              </w:rPr>
              <w:t>Grower hectare outliers in scope</w:t>
            </w:r>
          </w:p>
        </w:tc>
        <w:tc>
          <w:tcPr>
            <w:tcW w:type="dxa" w:w="2835"/>
          </w:tcPr>
          <w:p>
            <w:r/>
            <w:r>
              <w:rPr>
                <w:b w:val="0"/>
                <w:i w:val="0"/>
                <w:sz w:val="16"/>
              </w:rPr>
              <w:t>32 of 522 rows &gt; 500 ha; 92,030 ha raw vs 38,724 ha capped</w:t>
            </w:r>
          </w:p>
        </w:tc>
        <w:tc>
          <w:tcPr>
            <w:tcW w:type="dxa" w:w="3855"/>
          </w:tcPr>
          <w:p>
            <w:r/>
            <w:r>
              <w:rPr>
                <w:b w:val="0"/>
                <w:i w:val="0"/>
                <w:sz w:val="16"/>
              </w:rPr>
              <w:t>Cap at 500 ha per row; used only as a ceiling.</w:t>
            </w:r>
          </w:p>
        </w:tc>
      </w:tr>
      <w:tr>
        <w:tc>
          <w:tcPr>
            <w:tcW w:type="dxa" w:w="2948"/>
          </w:tcPr>
          <w:p>
            <w:r/>
            <w:r>
              <w:rPr>
                <w:b w:val="0"/>
                <w:i w:val="0"/>
                <w:sz w:val="16"/>
              </w:rPr>
              <w:t>Geo pivot subtotal rows</w:t>
            </w:r>
          </w:p>
        </w:tc>
        <w:tc>
          <w:tcPr>
            <w:tcW w:type="dxa" w:w="2835"/>
          </w:tcPr>
          <w:p>
            <w:r/>
            <w:r>
              <w:rPr>
                <w:b w:val="0"/>
                <w:i w:val="0"/>
                <w:sz w:val="16"/>
              </w:rPr>
              <w:t>62 of 761</w:t>
            </w:r>
          </w:p>
        </w:tc>
        <w:tc>
          <w:tcPr>
            <w:tcW w:type="dxa" w:w="3855"/>
          </w:tcPr>
          <w:p>
            <w:r/>
            <w:r>
              <w:rPr>
                <w:b w:val="0"/>
                <w:i w:val="0"/>
                <w:sz w:val="16"/>
              </w:rPr>
              <w:t>Reported only.</w:t>
            </w:r>
          </w:p>
        </w:tc>
      </w:tr>
      <w:tr>
        <w:tc>
          <w:tcPr>
            <w:tcW w:type="dxa" w:w="2948"/>
          </w:tcPr>
          <w:p>
            <w:r/>
            <w:r>
              <w:rPr>
                <w:b w:val="0"/>
                <w:i w:val="0"/>
                <w:sz w:val="16"/>
              </w:rPr>
              <w:t>Postcodes missing leading zero</w:t>
            </w:r>
          </w:p>
        </w:tc>
        <w:tc>
          <w:tcPr>
            <w:tcW w:type="dxa" w:w="2835"/>
          </w:tcPr>
          <w:p>
            <w:r/>
            <w:r>
              <w:rPr>
                <w:b w:val="0"/>
                <w:i w:val="0"/>
                <w:sz w:val="16"/>
              </w:rPr>
              <w:t>1,222</w:t>
            </w:r>
          </w:p>
        </w:tc>
        <w:tc>
          <w:tcPr>
            <w:tcW w:type="dxa" w:w="3855"/>
          </w:tcPr>
          <w:p>
            <w:r/>
            <w:r>
              <w:rPr>
                <w:b w:val="0"/>
                <w:i w:val="0"/>
                <w:sz w:val="16"/>
              </w:rPr>
              <w:t>Reported only.</w:t>
            </w:r>
          </w:p>
        </w:tc>
      </w:tr>
    </w:tbl>
    <w:p>
      <w:pPr>
        <w:spacing w:after="40"/>
      </w:pPr>
    </w:p>
    <w:p>
      <w:pPr>
        <w:pStyle w:val="Heading1"/>
      </w:pPr>
      <w:r>
        <w:t>15. Synthetic and anonymized layers</w:t>
      </w:r>
    </w:p>
    <w:p>
      <w:pPr>
        <w:spacing w:after="120"/>
      </w:pPr>
      <w:r>
        <w:rPr>
          <w:b w:val="0"/>
          <w:i w:val="0"/>
        </w:rPr>
        <w:t>The spreadsheets are yearly. The brief asks for a monthly demand table and live year-to-go, so the ingest creates monthly layers. All of them are marked synthetic in the app and must be confirmed with the SMEs.</w:t>
      </w:r>
    </w:p>
    <w:p>
      <w:pPr>
        <w:spacing w:after="40"/>
      </w:pPr>
      <w:r>
        <w:rPr>
          <w:b/>
          <w:sz w:val="18"/>
        </w:rPr>
        <w:t>Table 23. Synthetic layers</w:t>
      </w:r>
    </w:p>
    <w:tbl>
      <w:tblPr>
        <w:tblStyle w:val="LightGrid-Accent1"/>
        <w:tblW w:type="auto" w:w="0"/>
        <w:jc w:val="center"/>
        <w:tblLook w:firstColumn="1" w:firstRow="1" w:lastColumn="0" w:lastRow="0" w:noHBand="0" w:noVBand="1" w:val="04A0"/>
      </w:tblPr>
      <w:tblGrid>
        <w:gridCol w:w="3213"/>
        <w:gridCol w:w="3213"/>
        <w:gridCol w:w="3213"/>
      </w:tblGrid>
      <w:tr>
        <w:tc>
          <w:tcPr>
            <w:tcW w:type="dxa" w:w="1814"/>
          </w:tcPr>
          <w:p>
            <w:r/>
            <w:r>
              <w:rPr>
                <w:b/>
                <w:sz w:val="16"/>
              </w:rPr>
              <w:t>Layer</w:t>
            </w:r>
          </w:p>
        </w:tc>
        <w:tc>
          <w:tcPr>
            <w:tcW w:type="dxa" w:w="5102"/>
          </w:tcPr>
          <w:p>
            <w:r/>
            <w:r>
              <w:rPr>
                <w:b/>
                <w:sz w:val="16"/>
              </w:rPr>
              <w:t>How it is built</w:t>
            </w:r>
          </w:p>
        </w:tc>
        <w:tc>
          <w:tcPr>
            <w:tcW w:type="dxa" w:w="2721"/>
          </w:tcPr>
          <w:p>
            <w:r/>
            <w:r>
              <w:rPr>
                <w:b/>
                <w:sz w:val="16"/>
              </w:rPr>
              <w:t>Why</w:t>
            </w:r>
          </w:p>
        </w:tc>
      </w:tr>
      <w:tr>
        <w:tc>
          <w:tcPr>
            <w:tcW w:type="dxa" w:w="1814"/>
          </w:tcPr>
          <w:p>
            <w:r/>
            <w:r>
              <w:rPr>
                <w:b w:val="0"/>
                <w:i w:val="0"/>
                <w:sz w:val="16"/>
              </w:rPr>
              <w:t>Anonymization</w:t>
            </w:r>
          </w:p>
        </w:tc>
        <w:tc>
          <w:tcPr>
            <w:tcW w:type="dxa" w:w="5102"/>
          </w:tcPr>
          <w:p>
            <w:r/>
            <w:r>
              <w:rPr>
                <w:b w:val="0"/>
                <w:i w:val="0"/>
                <w:sz w:val="16"/>
              </w:rPr>
              <w:t>Syngenta quantity and value x one hidden factor (0.88-1.12) x (1 + N(0, 3%)) per row, value also x (1 + N(0, 1%)); rep names -&gt; Rep A / Rep B</w:t>
            </w:r>
          </w:p>
        </w:tc>
        <w:tc>
          <w:tcPr>
            <w:tcW w:type="dxa" w:w="2721"/>
          </w:tcPr>
          <w:p>
            <w:r/>
            <w:r>
              <w:rPr>
                <w:b w:val="0"/>
                <w:i w:val="0"/>
                <w:sz w:val="16"/>
              </w:rPr>
              <w:t>Brief: sales figures synthetic unless cleared.</w:t>
            </w:r>
          </w:p>
        </w:tc>
      </w:tr>
      <w:tr>
        <w:tc>
          <w:tcPr>
            <w:tcW w:type="dxa" w:w="1814"/>
          </w:tcPr>
          <w:p>
            <w:r/>
            <w:r>
              <w:rPr>
                <w:b w:val="0"/>
                <w:i w:val="0"/>
                <w:sz w:val="16"/>
              </w:rPr>
              <w:t>Seasonal curves</w:t>
            </w:r>
          </w:p>
        </w:tc>
        <w:tc>
          <w:tcPr>
            <w:tcW w:type="dxa" w:w="5102"/>
          </w:tcPr>
          <w:p>
            <w:r/>
            <w:r>
              <w:rPr>
                <w:b w:val="0"/>
                <w:i w:val="0"/>
                <w:sz w:val="16"/>
              </w:rPr>
              <w:t>Per cycle profile, base weight 0.015 per month plus peaks: spring Sep .12, Oct .30, Nov .30, Dec .12; autumn early Apr .12, May .30, Jun .28, Jul .10; autumn medium May .10, Jun .30, Jul .30, Aug .12; autumn late Jul .20, Aug .30, Sep .30, Oct .08; autumn Jun .20, Jul .30, Aug .25</w:t>
            </w:r>
          </w:p>
        </w:tc>
        <w:tc>
          <w:tcPr>
            <w:tcW w:type="dxa" w:w="2721"/>
          </w:tcPr>
          <w:p>
            <w:r/>
            <w:r>
              <w:rPr>
                <w:b w:val="0"/>
                <w:i w:val="0"/>
                <w:sz w:val="16"/>
              </w:rPr>
              <w:t>Seed is sold ahead of transplanting windows in Almeria.</w:t>
            </w:r>
          </w:p>
        </w:tc>
      </w:tr>
      <w:tr>
        <w:tc>
          <w:tcPr>
            <w:tcW w:type="dxa" w:w="1814"/>
          </w:tcPr>
          <w:p>
            <w:r/>
            <w:r>
              <w:rPr>
                <w:b w:val="0"/>
                <w:i w:val="0"/>
                <w:sz w:val="16"/>
              </w:rPr>
              <w:t>monthly_plan</w:t>
            </w:r>
          </w:p>
        </w:tc>
        <w:tc>
          <w:tcPr>
            <w:tcW w:type="dxa" w:w="5102"/>
          </w:tcPr>
          <w:p>
            <w:r/>
            <w:r>
              <w:rPr>
                <w:b w:val="0"/>
                <w:i w:val="0"/>
                <w:sz w:val="16"/>
              </w:rPr>
              <w:t>Yearly plan quantity split by the curve (2025, 2026)</w:t>
            </w:r>
          </w:p>
        </w:tc>
        <w:tc>
          <w:tcPr>
            <w:tcW w:type="dxa" w:w="2721"/>
          </w:tcPr>
          <w:p>
            <w:r/>
            <w:r>
              <w:rPr>
                <w:b w:val="0"/>
                <w:i w:val="0"/>
                <w:sz w:val="16"/>
              </w:rPr>
              <w:t>Plan per month for year-to-go and outlier checks.</w:t>
            </w:r>
          </w:p>
        </w:tc>
      </w:tr>
      <w:tr>
        <w:tc>
          <w:tcPr>
            <w:tcW w:type="dxa" w:w="1814"/>
          </w:tcPr>
          <w:p>
            <w:r/>
            <w:r>
              <w:rPr>
                <w:b w:val="0"/>
                <w:i w:val="0"/>
                <w:sz w:val="16"/>
              </w:rPr>
              <w:t>monthly_actuals 2025</w:t>
            </w:r>
          </w:p>
        </w:tc>
        <w:tc>
          <w:tcPr>
            <w:tcW w:type="dxa" w:w="5102"/>
          </w:tcPr>
          <w:p>
            <w:r/>
            <w:r>
              <w:rPr>
                <w:b w:val="0"/>
                <w:i w:val="0"/>
                <w:sz w:val="16"/>
              </w:rPr>
              <w:t>Plan x curve x (1 + N(0, 6%)), rescaled to the yearly total</w:t>
            </w:r>
          </w:p>
        </w:tc>
        <w:tc>
          <w:tcPr>
            <w:tcW w:type="dxa" w:w="2721"/>
          </w:tcPr>
          <w:p>
            <w:r/>
            <w:r>
              <w:rPr>
                <w:b w:val="0"/>
                <w:i w:val="0"/>
                <w:sz w:val="16"/>
              </w:rPr>
              <w:t>Last-year monthly pattern.</w:t>
            </w:r>
          </w:p>
        </w:tc>
      </w:tr>
      <w:tr>
        <w:tc>
          <w:tcPr>
            <w:tcW w:type="dxa" w:w="1814"/>
          </w:tcPr>
          <w:p>
            <w:r/>
            <w:r>
              <w:rPr>
                <w:b w:val="0"/>
                <w:i w:val="0"/>
                <w:sz w:val="16"/>
              </w:rPr>
              <w:t>monthly_actuals 2026</w:t>
            </w:r>
          </w:p>
        </w:tc>
        <w:tc>
          <w:tcPr>
            <w:tcW w:type="dxa" w:w="5102"/>
          </w:tcPr>
          <w:p>
            <w:r/>
            <w:r>
              <w:rPr>
                <w:b w:val="0"/>
                <w:i w:val="0"/>
                <w:sz w:val="16"/>
              </w:rPr>
              <w:t>Plan x curve x (1 + drift + N(0, 6%)); drift 2482 +8%, 2448 -12%, 2481 -6%; values = qty x net price x (1 + N(0, 1%)); revealed only before the demo clock</w:t>
            </w:r>
          </w:p>
        </w:tc>
        <w:tc>
          <w:tcPr>
            <w:tcW w:type="dxa" w:w="2721"/>
          </w:tcPr>
          <w:p>
            <w:r/>
            <w:r>
              <w:rPr>
                <w:b w:val="0"/>
                <w:i w:val="0"/>
                <w:sz w:val="16"/>
              </w:rPr>
              <w:t>Lets claims be confirmed or contradicted in the demo.</w:t>
            </w:r>
          </w:p>
        </w:tc>
      </w:tr>
      <w:tr>
        <w:tc>
          <w:tcPr>
            <w:tcW w:type="dxa" w:w="1814"/>
          </w:tcPr>
          <w:p>
            <w:r/>
            <w:r>
              <w:rPr>
                <w:b w:val="0"/>
                <w:i w:val="0"/>
                <w:sz w:val="16"/>
              </w:rPr>
              <w:t>Rep history (38 entries, Jan-Aug 2026)</w:t>
            </w:r>
          </w:p>
        </w:tc>
        <w:tc>
          <w:tcPr>
            <w:tcW w:type="dxa" w:w="5102"/>
          </w:tcPr>
          <w:p>
            <w:r/>
            <w:r>
              <w:rPr>
                <w:b w:val="0"/>
                <w:i w:val="0"/>
                <w:sz w:val="16"/>
              </w:rPr>
              <w:t>Rep A: bias +1%, noise 4%, range +/-8%. Rep B: bias +13%, noise 7%, range +/-4%. Templates for justifications; claim resolved by direction vs actual</w:t>
            </w:r>
          </w:p>
        </w:tc>
        <w:tc>
          <w:tcPr>
            <w:tcW w:type="dxa" w:w="2721"/>
          </w:tcPr>
          <w:p>
            <w:r/>
            <w:r>
              <w:rPr>
                <w:b w:val="0"/>
                <w:i w:val="0"/>
                <w:sz w:val="16"/>
              </w:rPr>
              <w:t>Seeds a meaningful track record (Rep A reliable, Rep B weak).</w:t>
            </w:r>
          </w:p>
        </w:tc>
      </w:tr>
      <w:tr>
        <w:tc>
          <w:tcPr>
            <w:tcW w:type="dxa" w:w="1814"/>
          </w:tcPr>
          <w:p>
            <w:r/>
            <w:r>
              <w:rPr>
                <w:b w:val="0"/>
                <w:i w:val="0"/>
                <w:sz w:val="16"/>
              </w:rPr>
              <w:t>Demo clock</w:t>
            </w:r>
          </w:p>
        </w:tc>
        <w:tc>
          <w:tcPr>
            <w:tcW w:type="dxa" w:w="5102"/>
          </w:tcPr>
          <w:p>
            <w:r/>
            <w:r>
              <w:rPr>
                <w:b w:val="0"/>
                <w:i w:val="0"/>
                <w:sz w:val="16"/>
              </w:rPr>
              <w:t>Starts at September 2026</w:t>
            </w:r>
          </w:p>
        </w:tc>
        <w:tc>
          <w:tcPr>
            <w:tcW w:type="dxa" w:w="2721"/>
          </w:tcPr>
          <w:p>
            <w:r/>
            <w:r>
              <w:rPr>
                <w:b w:val="0"/>
                <w:i w:val="0"/>
                <w:sz w:val="16"/>
              </w:rPr>
              <w:t>Matches the date of the demo; autumn-late and spring peaks are still open.</w:t>
            </w:r>
          </w:p>
        </w:tc>
      </w:tr>
    </w:tbl>
    <w:p>
      <w:pPr>
        <w:spacing w:after="40"/>
      </w:pPr>
    </w:p>
    <w:p>
      <w:pPr>
        <w:pStyle w:val="Heading1"/>
      </w:pPr>
      <w:r>
        <w:t>16. Derived data elements created by the application</w:t>
      </w:r>
    </w:p>
    <w:p>
      <w:pPr>
        <w:spacing w:after="40"/>
      </w:pPr>
      <w:r>
        <w:rPr>
          <w:b/>
          <w:sz w:val="18"/>
        </w:rPr>
        <w:t>Table 24. Derived elements</w:t>
      </w:r>
    </w:p>
    <w:tbl>
      <w:tblPr>
        <w:tblStyle w:val="LightGrid-Accent1"/>
        <w:tblW w:type="auto" w:w="0"/>
        <w:jc w:val="center"/>
        <w:tblLook w:firstColumn="1" w:firstRow="1" w:lastColumn="0" w:lastRow="0" w:noHBand="0" w:noVBand="1" w:val="04A0"/>
      </w:tblPr>
      <w:tblGrid>
        <w:gridCol w:w="3213"/>
        <w:gridCol w:w="3213"/>
        <w:gridCol w:w="3213"/>
      </w:tblGrid>
      <w:tr>
        <w:tc>
          <w:tcPr>
            <w:tcW w:type="dxa" w:w="2381"/>
          </w:tcPr>
          <w:p>
            <w:r/>
            <w:r>
              <w:rPr>
                <w:b/>
                <w:sz w:val="16"/>
              </w:rPr>
              <w:t>Element</w:t>
            </w:r>
          </w:p>
        </w:tc>
        <w:tc>
          <w:tcPr>
            <w:tcW w:type="dxa" w:w="2268"/>
          </w:tcPr>
          <w:p>
            <w:r/>
            <w:r>
              <w:rPr>
                <w:b/>
                <w:sz w:val="16"/>
              </w:rPr>
              <w:t>Where</w:t>
            </w:r>
          </w:p>
        </w:tc>
        <w:tc>
          <w:tcPr>
            <w:tcW w:type="dxa" w:w="4989"/>
          </w:tcPr>
          <w:p>
            <w:r/>
            <w:r>
              <w:rPr>
                <w:b/>
                <w:sz w:val="16"/>
              </w:rPr>
              <w:t>Meaning</w:t>
            </w:r>
          </w:p>
        </w:tc>
      </w:tr>
      <w:tr>
        <w:tc>
          <w:tcPr>
            <w:tcW w:type="dxa" w:w="2381"/>
          </w:tcPr>
          <w:p>
            <w:r/>
            <w:r>
              <w:rPr>
                <w:b w:val="0"/>
                <w:i w:val="0"/>
                <w:sz w:val="16"/>
              </w:rPr>
              <w:t>segments.profile</w:t>
            </w:r>
          </w:p>
        </w:tc>
        <w:tc>
          <w:tcPr>
            <w:tcW w:type="dxa" w:w="2268"/>
          </w:tcPr>
          <w:p>
            <w:r/>
            <w:r>
              <w:rPr>
                <w:b w:val="0"/>
                <w:i w:val="0"/>
                <w:sz w:val="16"/>
              </w:rPr>
              <w:t>segments</w:t>
            </w:r>
          </w:p>
        </w:tc>
        <w:tc>
          <w:tcPr>
            <w:tcW w:type="dxa" w:w="4989"/>
          </w:tcPr>
          <w:p>
            <w:r/>
            <w:r>
              <w:rPr>
                <w:b w:val="0"/>
                <w:i w:val="0"/>
                <w:sz w:val="16"/>
              </w:rPr>
              <w:t>Cycle profile parsed from the description (spring, autumn_early, autumn_medium, autumn_late, autumn).</w:t>
            </w:r>
          </w:p>
        </w:tc>
      </w:tr>
      <w:tr>
        <w:tc>
          <w:tcPr>
            <w:tcW w:type="dxa" w:w="2381"/>
          </w:tcPr>
          <w:p>
            <w:r/>
            <w:r>
              <w:rPr>
                <w:b w:val="0"/>
                <w:i w:val="0"/>
                <w:sz w:val="16"/>
              </w:rPr>
              <w:t>plan_years.net_price</w:t>
            </w:r>
          </w:p>
        </w:tc>
        <w:tc>
          <w:tcPr>
            <w:tcW w:type="dxa" w:w="2268"/>
          </w:tcPr>
          <w:p>
            <w:r/>
            <w:r>
              <w:rPr>
                <w:b w:val="0"/>
                <w:i w:val="0"/>
                <w:sz w:val="16"/>
              </w:rPr>
              <w:t>plan_years</w:t>
            </w:r>
          </w:p>
        </w:tc>
        <w:tc>
          <w:tcPr>
            <w:tcW w:type="dxa" w:w="4989"/>
          </w:tcPr>
          <w:p>
            <w:r/>
            <w:r>
              <w:rPr>
                <w:b w:val="0"/>
                <w:i w:val="0"/>
                <w:sz w:val="16"/>
              </w:rPr>
              <w:t>value / quantity after anonymization.</w:t>
            </w:r>
          </w:p>
        </w:tc>
      </w:tr>
      <w:tr>
        <w:tc>
          <w:tcPr>
            <w:tcW w:type="dxa" w:w="2381"/>
          </w:tcPr>
          <w:p>
            <w:r/>
            <w:r>
              <w:rPr>
                <w:b w:val="0"/>
                <w:i w:val="0"/>
                <w:sz w:val="16"/>
              </w:rPr>
              <w:t>demand_entries.impact</w:t>
            </w:r>
          </w:p>
        </w:tc>
        <w:tc>
          <w:tcPr>
            <w:tcW w:type="dxa" w:w="2268"/>
          </w:tcPr>
          <w:p>
            <w:r/>
            <w:r>
              <w:rPr>
                <w:b w:val="0"/>
                <w:i w:val="0"/>
                <w:sz w:val="16"/>
              </w:rPr>
              <w:t>demand_entries (JSON)</w:t>
            </w:r>
          </w:p>
        </w:tc>
        <w:tc>
          <w:tcPr>
            <w:tcW w:type="dxa" w:w="4989"/>
          </w:tcPr>
          <w:p>
            <w:r/>
            <w:r>
              <w:rPr>
                <w:b w:val="0"/>
                <w:i w:val="0"/>
                <w:sz w:val="16"/>
              </w:rPr>
              <w:t>Full impact snapshot (all outputs in section 8) at submit time.</w:t>
            </w:r>
          </w:p>
        </w:tc>
      </w:tr>
      <w:tr>
        <w:tc>
          <w:tcPr>
            <w:tcW w:type="dxa" w:w="2381"/>
          </w:tcPr>
          <w:p>
            <w:r/>
            <w:r>
              <w:rPr>
                <w:b w:val="0"/>
                <w:i w:val="0"/>
                <w:sz w:val="16"/>
              </w:rPr>
              <w:t>demand_entries.flags</w:t>
            </w:r>
          </w:p>
        </w:tc>
        <w:tc>
          <w:tcPr>
            <w:tcW w:type="dxa" w:w="2268"/>
          </w:tcPr>
          <w:p>
            <w:r/>
            <w:r>
              <w:rPr>
                <w:b w:val="0"/>
                <w:i w:val="0"/>
                <w:sz w:val="16"/>
              </w:rPr>
              <w:t>demand_entries (JSON)</w:t>
            </w:r>
          </w:p>
        </w:tc>
        <w:tc>
          <w:tcPr>
            <w:tcW w:type="dxa" w:w="4989"/>
          </w:tcPr>
          <w:p>
            <w:r/>
            <w:r>
              <w:rPr>
                <w:b w:val="0"/>
                <w:i w:val="0"/>
                <w:sz w:val="16"/>
              </w:rPr>
              <w:t>Flags fired at submit time.</w:t>
            </w:r>
          </w:p>
        </w:tc>
      </w:tr>
      <w:tr>
        <w:tc>
          <w:tcPr>
            <w:tcW w:type="dxa" w:w="2381"/>
          </w:tcPr>
          <w:p>
            <w:r/>
            <w:r>
              <w:rPr>
                <w:b w:val="0"/>
                <w:i w:val="0"/>
                <w:sz w:val="16"/>
              </w:rPr>
              <w:t>demand_entries.status</w:t>
            </w:r>
          </w:p>
        </w:tc>
        <w:tc>
          <w:tcPr>
            <w:tcW w:type="dxa" w:w="2268"/>
          </w:tcPr>
          <w:p>
            <w:r/>
            <w:r>
              <w:rPr>
                <w:b w:val="0"/>
                <w:i w:val="0"/>
                <w:sz w:val="16"/>
              </w:rPr>
              <w:t>demand_entries</w:t>
            </w:r>
          </w:p>
        </w:tc>
        <w:tc>
          <w:tcPr>
            <w:tcW w:type="dxa" w:w="4989"/>
          </w:tcPr>
          <w:p>
            <w:r/>
            <w:r>
              <w:rPr>
                <w:b w:val="0"/>
                <w:i w:val="0"/>
                <w:sz w:val="16"/>
              </w:rPr>
              <w:t>submitted, approved, discuss, challenged, superseded.</w:t>
            </w:r>
          </w:p>
        </w:tc>
      </w:tr>
      <w:tr>
        <w:tc>
          <w:tcPr>
            <w:tcW w:type="dxa" w:w="2381"/>
          </w:tcPr>
          <w:p>
            <w:r/>
            <w:r>
              <w:rPr>
                <w:b w:val="0"/>
                <w:i w:val="0"/>
                <w:sz w:val="16"/>
              </w:rPr>
              <w:t>demand_entries.triage</w:t>
            </w:r>
          </w:p>
        </w:tc>
        <w:tc>
          <w:tcPr>
            <w:tcW w:type="dxa" w:w="2268"/>
          </w:tcPr>
          <w:p>
            <w:r/>
            <w:r>
              <w:rPr>
                <w:b w:val="0"/>
                <w:i w:val="0"/>
                <w:sz w:val="16"/>
              </w:rPr>
              <w:t>demand_entries (JSON)</w:t>
            </w:r>
          </w:p>
        </w:tc>
        <w:tc>
          <w:tcPr>
            <w:tcW w:type="dxa" w:w="4989"/>
          </w:tcPr>
          <w:p>
            <w:r/>
            <w:r>
              <w:rPr>
                <w:b w:val="0"/>
                <w:i w:val="0"/>
                <w:sz w:val="16"/>
              </w:rPr>
              <w:t>Jev triage choice, confidence, probabilities, provider.</w:t>
            </w:r>
          </w:p>
        </w:tc>
      </w:tr>
      <w:tr>
        <w:tc>
          <w:tcPr>
            <w:tcW w:type="dxa" w:w="2381"/>
          </w:tcPr>
          <w:p>
            <w:r/>
            <w:r>
              <w:rPr>
                <w:b w:val="0"/>
                <w:i w:val="0"/>
                <w:sz w:val="16"/>
              </w:rPr>
              <w:t>claims.*</w:t>
            </w:r>
          </w:p>
        </w:tc>
        <w:tc>
          <w:tcPr>
            <w:tcW w:type="dxa" w:w="2268"/>
          </w:tcPr>
          <w:p>
            <w:r/>
            <w:r>
              <w:rPr>
                <w:b w:val="0"/>
                <w:i w:val="0"/>
                <w:sz w:val="16"/>
              </w:rPr>
              <w:t>claims</w:t>
            </w:r>
          </w:p>
        </w:tc>
        <w:tc>
          <w:tcPr>
            <w:tcW w:type="dxa" w:w="4989"/>
          </w:tcPr>
          <w:p>
            <w:r/>
            <w:r>
              <w:rPr>
                <w:b w:val="0"/>
                <w:i w:val="0"/>
                <w:sz w:val="16"/>
              </w:rPr>
              <w:t>Structured claim fields, decisions with probabilities, provider, signal, check month, resolution and resolution detail (actual, plan, in range, error %, Jev probability, evidence text).</w:t>
            </w:r>
          </w:p>
        </w:tc>
      </w:tr>
      <w:tr>
        <w:tc>
          <w:tcPr>
            <w:tcW w:type="dxa" w:w="2381"/>
          </w:tcPr>
          <w:p>
            <w:r/>
            <w:r>
              <w:rPr>
                <w:b w:val="0"/>
                <w:i w:val="0"/>
                <w:sz w:val="16"/>
              </w:rPr>
              <w:t>rep_track_records.*</w:t>
            </w:r>
          </w:p>
        </w:tc>
        <w:tc>
          <w:tcPr>
            <w:tcW w:type="dxa" w:w="2268"/>
          </w:tcPr>
          <w:p>
            <w:r/>
            <w:r>
              <w:rPr>
                <w:b w:val="0"/>
                <w:i w:val="0"/>
                <w:sz w:val="16"/>
              </w:rPr>
              <w:t>rep_track_records</w:t>
            </w:r>
          </w:p>
        </w:tc>
        <w:tc>
          <w:tcPr>
            <w:tcW w:type="dxa" w:w="4989"/>
          </w:tcPr>
          <w:p>
            <w:r/>
            <w:r>
              <w:rPr>
                <w:b w:val="0"/>
                <w:i w:val="0"/>
                <w:sz w:val="16"/>
              </w:rPr>
              <w:t>entries resolved, bias, claim hit rate, range coverage, confirmed, contradicted.</w:t>
            </w:r>
          </w:p>
        </w:tc>
      </w:tr>
      <w:tr>
        <w:tc>
          <w:tcPr>
            <w:tcW w:type="dxa" w:w="2381"/>
          </w:tcPr>
          <w:p>
            <w:r/>
            <w:r>
              <w:rPr>
                <w:b w:val="0"/>
                <w:i w:val="0"/>
                <w:sz w:val="16"/>
              </w:rPr>
              <w:t>Supply CSV</w:t>
            </w:r>
          </w:p>
        </w:tc>
        <w:tc>
          <w:tcPr>
            <w:tcW w:type="dxa" w:w="2268"/>
          </w:tcPr>
          <w:p>
            <w:r/>
            <w:r>
              <w:rPr>
                <w:b w:val="0"/>
                <w:i w:val="0"/>
                <w:sz w:val="16"/>
              </w:rPr>
              <w:t>export</w:t>
            </w:r>
          </w:p>
        </w:tc>
        <w:tc>
          <w:tcPr>
            <w:tcW w:type="dxa" w:w="4989"/>
          </w:tcPr>
          <w:p>
            <w:r/>
            <w:r>
              <w:rPr>
                <w:b w:val="0"/>
                <w:i w:val="0"/>
                <w:sz w:val="16"/>
              </w:rPr>
              <w:t>segment, month, low / mid / high, build_to, build_ks, rep, reason.</w:t>
            </w:r>
          </w:p>
        </w:tc>
      </w:tr>
    </w:tbl>
    <w:p>
      <w:pPr>
        <w:spacing w:after="40"/>
      </w:pPr>
    </w:p>
    <w:p>
      <w:r>
        <w:br w:type="page"/>
      </w:r>
    </w:p>
    <w:p>
      <w:pPr>
        <w:pStyle w:val="Heading1"/>
      </w:pPr>
      <w:r>
        <w:t>17. Database model</w:t>
      </w:r>
    </w:p>
    <w:p>
      <w:pPr>
        <w:spacing w:after="40"/>
      </w:pPr>
      <w:r>
        <w:rPr>
          <w:b/>
          <w:sz w:val="18"/>
        </w:rPr>
        <w:t>Table 25. Tables (one Alembic migration)</w:t>
      </w:r>
    </w:p>
    <w:tbl>
      <w:tblPr>
        <w:tblStyle w:val="LightGrid-Accent1"/>
        <w:tblW w:type="auto" w:w="0"/>
        <w:jc w:val="center"/>
        <w:tblLook w:firstColumn="1" w:firstRow="1" w:lastColumn="0" w:lastRow="0" w:noHBand="0" w:noVBand="1" w:val="04A0"/>
      </w:tblPr>
      <w:tblGrid>
        <w:gridCol w:w="3213"/>
        <w:gridCol w:w="3213"/>
        <w:gridCol w:w="3213"/>
      </w:tblGrid>
      <w:tr>
        <w:tc>
          <w:tcPr>
            <w:tcW w:type="dxa" w:w="1814"/>
          </w:tcPr>
          <w:p>
            <w:r/>
            <w:r>
              <w:rPr>
                <w:b/>
                <w:sz w:val="15"/>
              </w:rPr>
              <w:t>Table</w:t>
            </w:r>
          </w:p>
        </w:tc>
        <w:tc>
          <w:tcPr>
            <w:tcW w:type="dxa" w:w="5443"/>
          </w:tcPr>
          <w:p>
            <w:r/>
            <w:r>
              <w:rPr>
                <w:b/>
                <w:sz w:val="15"/>
              </w:rPr>
              <w:t>Key columns</w:t>
            </w:r>
          </w:p>
        </w:tc>
        <w:tc>
          <w:tcPr>
            <w:tcW w:type="dxa" w:w="2381"/>
          </w:tcPr>
          <w:p>
            <w:r/>
            <w:r>
              <w:rPr>
                <w:b/>
                <w:sz w:val="15"/>
              </w:rPr>
              <w:t>Content</w:t>
            </w:r>
          </w:p>
        </w:tc>
      </w:tr>
      <w:tr>
        <w:tc>
          <w:tcPr>
            <w:tcW w:type="dxa" w:w="1814"/>
          </w:tcPr>
          <w:p>
            <w:r/>
            <w:r>
              <w:rPr>
                <w:b w:val="0"/>
                <w:i w:val="0"/>
                <w:sz w:val="15"/>
              </w:rPr>
              <w:t>segments</w:t>
            </w:r>
          </w:p>
        </w:tc>
        <w:tc>
          <w:tcPr>
            <w:tcW w:type="dxa" w:w="5443"/>
          </w:tcPr>
          <w:p>
            <w:r/>
            <w:r>
              <w:rPr>
                <w:b w:val="0"/>
                <w:i w:val="0"/>
                <w:sz w:val="15"/>
              </w:rPr>
              <w:t>id (micro-segment), description, cycle, color, ecology, mega_segment_id, profile, owner_id</w:t>
            </w:r>
          </w:p>
        </w:tc>
        <w:tc>
          <w:tcPr>
            <w:tcW w:type="dxa" w:w="2381"/>
          </w:tcPr>
          <w:p>
            <w:r/>
            <w:r>
              <w:rPr>
                <w:b w:val="0"/>
                <w:i w:val="0"/>
                <w:sz w:val="15"/>
              </w:rPr>
              <w:t>9 locked micro-segments</w:t>
            </w:r>
          </w:p>
        </w:tc>
      </w:tr>
      <w:tr>
        <w:tc>
          <w:tcPr>
            <w:tcW w:type="dxa" w:w="1814"/>
          </w:tcPr>
          <w:p>
            <w:r/>
            <w:r>
              <w:rPr>
                <w:b w:val="0"/>
                <w:i w:val="0"/>
                <w:sz w:val="15"/>
              </w:rPr>
              <w:t>market_years</w:t>
            </w:r>
          </w:p>
        </w:tc>
        <w:tc>
          <w:tcPr>
            <w:tcW w:type="dxa" w:w="5443"/>
          </w:tcPr>
          <w:p>
            <w:r/>
            <w:r>
              <w:rPr>
                <w:b w:val="0"/>
                <w:i w:val="0"/>
                <w:sz w:val="15"/>
              </w:rPr>
              <w:t>segment_id, year, hectares, qty_ks, density, price_exseed, price_farmgate, notes (JSON)</w:t>
            </w:r>
          </w:p>
        </w:tc>
        <w:tc>
          <w:tcPr>
            <w:tcW w:type="dxa" w:w="2381"/>
          </w:tcPr>
          <w:p>
            <w:r/>
            <w:r>
              <w:rPr>
                <w:b w:val="0"/>
                <w:i w:val="0"/>
                <w:sz w:val="15"/>
              </w:rPr>
              <w:t>63 rows</w:t>
            </w:r>
          </w:p>
        </w:tc>
      </w:tr>
      <w:tr>
        <w:tc>
          <w:tcPr>
            <w:tcW w:type="dxa" w:w="1814"/>
          </w:tcPr>
          <w:p>
            <w:r/>
            <w:r>
              <w:rPr>
                <w:b w:val="0"/>
                <w:i w:val="0"/>
                <w:sz w:val="15"/>
              </w:rPr>
              <w:t>plan_years</w:t>
            </w:r>
          </w:p>
        </w:tc>
        <w:tc>
          <w:tcPr>
            <w:tcW w:type="dxa" w:w="5443"/>
          </w:tcPr>
          <w:p>
            <w:r/>
            <w:r>
              <w:rPr>
                <w:b w:val="0"/>
                <w:i w:val="0"/>
                <w:sz w:val="15"/>
              </w:rPr>
              <w:t>segment_id, year, qty_ks, value_eur, net_price, fpi_qty_ks, comment</w:t>
            </w:r>
          </w:p>
        </w:tc>
        <w:tc>
          <w:tcPr>
            <w:tcW w:type="dxa" w:w="2381"/>
          </w:tcPr>
          <w:p>
            <w:r/>
            <w:r>
              <w:rPr>
                <w:b w:val="0"/>
                <w:i w:val="0"/>
                <w:sz w:val="15"/>
              </w:rPr>
              <w:t>63 rows</w:t>
            </w:r>
          </w:p>
        </w:tc>
      </w:tr>
      <w:tr>
        <w:tc>
          <w:tcPr>
            <w:tcW w:type="dxa" w:w="1814"/>
          </w:tcPr>
          <w:p>
            <w:r/>
            <w:r>
              <w:rPr>
                <w:b w:val="0"/>
                <w:i w:val="0"/>
                <w:sz w:val="15"/>
              </w:rPr>
              <w:t>competitor_shares</w:t>
            </w:r>
          </w:p>
        </w:tc>
        <w:tc>
          <w:tcPr>
            <w:tcW w:type="dxa" w:w="5443"/>
          </w:tcPr>
          <w:p>
            <w:r/>
            <w:r>
              <w:rPr>
                <w:b w:val="0"/>
                <w:i w:val="0"/>
                <w:sz w:val="15"/>
              </w:rPr>
              <w:t>mega_segment_id, competitor, year, share_pct, value_eur, trend</w:t>
            </w:r>
          </w:p>
        </w:tc>
        <w:tc>
          <w:tcPr>
            <w:tcW w:type="dxa" w:w="2381"/>
          </w:tcPr>
          <w:p>
            <w:r/>
            <w:r>
              <w:rPr>
                <w:b w:val="0"/>
                <w:i w:val="0"/>
                <w:sz w:val="15"/>
              </w:rPr>
              <w:t>9 players x 7 years</w:t>
            </w:r>
          </w:p>
        </w:tc>
      </w:tr>
      <w:tr>
        <w:tc>
          <w:tcPr>
            <w:tcW w:type="dxa" w:w="1814"/>
          </w:tcPr>
          <w:p>
            <w:r/>
            <w:r>
              <w:rPr>
                <w:b w:val="0"/>
                <w:i w:val="0"/>
                <w:sz w:val="15"/>
              </w:rPr>
              <w:t>monthly_plan</w:t>
            </w:r>
          </w:p>
        </w:tc>
        <w:tc>
          <w:tcPr>
            <w:tcW w:type="dxa" w:w="5443"/>
          </w:tcPr>
          <w:p>
            <w:r/>
            <w:r>
              <w:rPr>
                <w:b w:val="0"/>
                <w:i w:val="0"/>
                <w:sz w:val="15"/>
              </w:rPr>
              <w:t>segment_id, year, month, qty_ks</w:t>
            </w:r>
          </w:p>
        </w:tc>
        <w:tc>
          <w:tcPr>
            <w:tcW w:type="dxa" w:w="2381"/>
          </w:tcPr>
          <w:p>
            <w:r/>
            <w:r>
              <w:rPr>
                <w:b w:val="0"/>
                <w:i w:val="0"/>
                <w:sz w:val="15"/>
              </w:rPr>
              <w:t>2025-2026</w:t>
            </w:r>
          </w:p>
        </w:tc>
      </w:tr>
      <w:tr>
        <w:tc>
          <w:tcPr>
            <w:tcW w:type="dxa" w:w="1814"/>
          </w:tcPr>
          <w:p>
            <w:r/>
            <w:r>
              <w:rPr>
                <w:b w:val="0"/>
                <w:i w:val="0"/>
                <w:sz w:val="15"/>
              </w:rPr>
              <w:t>monthly_actuals</w:t>
            </w:r>
          </w:p>
        </w:tc>
        <w:tc>
          <w:tcPr>
            <w:tcW w:type="dxa" w:w="5443"/>
          </w:tcPr>
          <w:p>
            <w:r/>
            <w:r>
              <w:rPr>
                <w:b w:val="0"/>
                <w:i w:val="0"/>
                <w:sz w:val="15"/>
              </w:rPr>
              <w:t>segment_id, year, month, qty_ks, value_eur</w:t>
            </w:r>
          </w:p>
        </w:tc>
        <w:tc>
          <w:tcPr>
            <w:tcW w:type="dxa" w:w="2381"/>
          </w:tcPr>
          <w:p>
            <w:r/>
            <w:r>
              <w:rPr>
                <w:b w:val="0"/>
                <w:i w:val="0"/>
                <w:sz w:val="15"/>
              </w:rPr>
              <w:t>2025-2026 (2026 revealed by clock)</w:t>
            </w:r>
          </w:p>
        </w:tc>
      </w:tr>
      <w:tr>
        <w:tc>
          <w:tcPr>
            <w:tcW w:type="dxa" w:w="1814"/>
          </w:tcPr>
          <w:p>
            <w:r/>
            <w:r>
              <w:rPr>
                <w:b w:val="0"/>
                <w:i w:val="0"/>
                <w:sz w:val="15"/>
              </w:rPr>
              <w:t>grower_potential</w:t>
            </w:r>
          </w:p>
        </w:tc>
        <w:tc>
          <w:tcPr>
            <w:tcW w:type="dxa" w:w="5443"/>
          </w:tcPr>
          <w:p>
            <w:r/>
            <w:r>
              <w:rPr>
                <w:b w:val="0"/>
                <w:i w:val="0"/>
                <w:sz w:val="15"/>
              </w:rPr>
              <w:t>variety, owner, hectares, density, region</w:t>
            </w:r>
          </w:p>
        </w:tc>
        <w:tc>
          <w:tcPr>
            <w:tcW w:type="dxa" w:w="2381"/>
          </w:tcPr>
          <w:p>
            <w:r/>
            <w:r>
              <w:rPr>
                <w:b w:val="0"/>
                <w:i w:val="0"/>
                <w:sz w:val="15"/>
              </w:rPr>
              <w:t>522 capped rows</w:t>
            </w:r>
          </w:p>
        </w:tc>
      </w:tr>
      <w:tr>
        <w:tc>
          <w:tcPr>
            <w:tcW w:type="dxa" w:w="1814"/>
          </w:tcPr>
          <w:p>
            <w:r/>
            <w:r>
              <w:rPr>
                <w:b w:val="0"/>
                <w:i w:val="0"/>
                <w:sz w:val="15"/>
              </w:rPr>
              <w:t>demand_entries</w:t>
            </w:r>
          </w:p>
        </w:tc>
        <w:tc>
          <w:tcPr>
            <w:tcW w:type="dxa" w:w="5443"/>
          </w:tcPr>
          <w:p>
            <w:r/>
            <w:r>
              <w:rPr>
                <w:b w:val="0"/>
                <w:i w:val="0"/>
                <w:sz w:val="15"/>
              </w:rPr>
              <w:t>id, user_id, segment_id, year, month, value, low, high, price, justification, impact, flags, status, source, triage, reviewed_by/at, created_at</w:t>
            </w:r>
          </w:p>
        </w:tc>
        <w:tc>
          <w:tcPr>
            <w:tcW w:type="dxa" w:w="2381"/>
          </w:tcPr>
          <w:p>
            <w:r/>
            <w:r>
              <w:rPr>
                <w:b w:val="0"/>
                <w:i w:val="0"/>
                <w:sz w:val="15"/>
              </w:rPr>
              <w:t>Ledger</w:t>
            </w:r>
          </w:p>
        </w:tc>
      </w:tr>
      <w:tr>
        <w:tc>
          <w:tcPr>
            <w:tcW w:type="dxa" w:w="1814"/>
          </w:tcPr>
          <w:p>
            <w:r/>
            <w:r>
              <w:rPr>
                <w:b w:val="0"/>
                <w:i w:val="0"/>
                <w:sz w:val="15"/>
              </w:rPr>
              <w:t>claims</w:t>
            </w:r>
          </w:p>
        </w:tc>
        <w:tc>
          <w:tcPr>
            <w:tcW w:type="dxa" w:w="5443"/>
          </w:tcPr>
          <w:p>
            <w:r/>
            <w:r>
              <w:rPr>
                <w:b w:val="0"/>
                <w:i w:val="0"/>
                <w:sz w:val="15"/>
              </w:rPr>
              <w:t>entry_id, driver, direction, magnitude, competitor, variety, evidence_source, verifiable, consistent_with_notes, specificity, addresses_flags, summary, decisions, provider, signal, check_year/month, resolution, resolution_detail, resolved_at</w:t>
            </w:r>
          </w:p>
        </w:tc>
        <w:tc>
          <w:tcPr>
            <w:tcW w:type="dxa" w:w="2381"/>
          </w:tcPr>
          <w:p>
            <w:r/>
            <w:r>
              <w:rPr>
                <w:b w:val="0"/>
                <w:i w:val="0"/>
                <w:sz w:val="15"/>
              </w:rPr>
              <w:t>One per justified entry</w:t>
            </w:r>
          </w:p>
        </w:tc>
      </w:tr>
      <w:tr>
        <w:tc>
          <w:tcPr>
            <w:tcW w:type="dxa" w:w="1814"/>
          </w:tcPr>
          <w:p>
            <w:r/>
            <w:r>
              <w:rPr>
                <w:b w:val="0"/>
                <w:i w:val="0"/>
                <w:sz w:val="15"/>
              </w:rPr>
              <w:t>rep_track_records</w:t>
            </w:r>
          </w:p>
        </w:tc>
        <w:tc>
          <w:tcPr>
            <w:tcW w:type="dxa" w:w="5443"/>
          </w:tcPr>
          <w:p>
            <w:r/>
            <w:r>
              <w:rPr>
                <w:b w:val="0"/>
                <w:i w:val="0"/>
                <w:sz w:val="15"/>
              </w:rPr>
              <w:t>user_id, entries_resolved, bias_pct, claim_hit_rate, range_coverage, confirmed, contradicted</w:t>
            </w:r>
          </w:p>
        </w:tc>
        <w:tc>
          <w:tcPr>
            <w:tcW w:type="dxa" w:w="2381"/>
          </w:tcPr>
          <w:p>
            <w:r/>
            <w:r>
              <w:rPr>
                <w:b w:val="0"/>
                <w:i w:val="0"/>
                <w:sz w:val="15"/>
              </w:rPr>
              <w:t>Materialized on advance</w:t>
            </w:r>
          </w:p>
        </w:tc>
      </w:tr>
      <w:tr>
        <w:tc>
          <w:tcPr>
            <w:tcW w:type="dxa" w:w="1814"/>
          </w:tcPr>
          <w:p>
            <w:r/>
            <w:r>
              <w:rPr>
                <w:b w:val="0"/>
                <w:i w:val="0"/>
                <w:sz w:val="15"/>
              </w:rPr>
              <w:t>demo_clock</w:t>
            </w:r>
          </w:p>
        </w:tc>
        <w:tc>
          <w:tcPr>
            <w:tcW w:type="dxa" w:w="5443"/>
          </w:tcPr>
          <w:p>
            <w:r/>
            <w:r>
              <w:rPr>
                <w:b w:val="0"/>
                <w:i w:val="0"/>
                <w:sz w:val="15"/>
              </w:rPr>
              <w:t>year, month</w:t>
            </w:r>
          </w:p>
        </w:tc>
        <w:tc>
          <w:tcPr>
            <w:tcW w:type="dxa" w:w="2381"/>
          </w:tcPr>
          <w:p>
            <w:r/>
            <w:r>
              <w:rPr>
                <w:b w:val="0"/>
                <w:i w:val="0"/>
                <w:sz w:val="15"/>
              </w:rPr>
              <w:t>Single row</w:t>
            </w:r>
          </w:p>
        </w:tc>
      </w:tr>
    </w:tbl>
    <w:p>
      <w:pPr>
        <w:spacing w:after="40"/>
      </w:pPr>
    </w:p>
    <w:p>
      <w:pPr>
        <w:pStyle w:val="Heading1"/>
      </w:pPr>
      <w:r>
        <w:t>18. API</w:t>
      </w:r>
    </w:p>
    <w:p>
      <w:pPr>
        <w:spacing w:after="40"/>
      </w:pPr>
      <w:r>
        <w:rPr>
          <w:b/>
          <w:sz w:val="18"/>
        </w:rPr>
        <w:t>Table 26. Endpoints</w:t>
      </w:r>
    </w:p>
    <w:tbl>
      <w:tblPr>
        <w:tblStyle w:val="LightGrid-Accent1"/>
        <w:tblW w:type="auto" w:w="0"/>
        <w:jc w:val="center"/>
        <w:tblLook w:firstColumn="1" w:firstRow="1" w:lastColumn="0" w:lastRow="0" w:noHBand="0" w:noVBand="1" w:val="04A0"/>
      </w:tblPr>
      <w:tblGrid>
        <w:gridCol w:w="3213"/>
        <w:gridCol w:w="3213"/>
        <w:gridCol w:w="3213"/>
      </w:tblGrid>
      <w:tr>
        <w:tc>
          <w:tcPr>
            <w:tcW w:type="dxa" w:w="3515"/>
          </w:tcPr>
          <w:p>
            <w:r/>
            <w:r>
              <w:rPr>
                <w:b/>
                <w:sz w:val="16"/>
              </w:rPr>
              <w:t>Method and path</w:t>
            </w:r>
          </w:p>
        </w:tc>
        <w:tc>
          <w:tcPr>
            <w:tcW w:type="dxa" w:w="1361"/>
          </w:tcPr>
          <w:p>
            <w:r/>
            <w:r>
              <w:rPr>
                <w:b/>
                <w:sz w:val="16"/>
              </w:rPr>
              <w:t>Role</w:t>
            </w:r>
          </w:p>
        </w:tc>
        <w:tc>
          <w:tcPr>
            <w:tcW w:type="dxa" w:w="4762"/>
          </w:tcPr>
          <w:p>
            <w:r/>
            <w:r>
              <w:rPr>
                <w:b/>
                <w:sz w:val="16"/>
              </w:rPr>
              <w:t>Purpose</w:t>
            </w:r>
          </w:p>
        </w:tc>
      </w:tr>
      <w:tr>
        <w:tc>
          <w:tcPr>
            <w:tcW w:type="dxa" w:w="3515"/>
          </w:tcPr>
          <w:p>
            <w:r/>
            <w:r>
              <w:rPr>
                <w:b w:val="0"/>
                <w:i w:val="0"/>
                <w:sz w:val="16"/>
              </w:rPr>
              <w:t>GET /api/health</w:t>
            </w:r>
          </w:p>
        </w:tc>
        <w:tc>
          <w:tcPr>
            <w:tcW w:type="dxa" w:w="1361"/>
          </w:tcPr>
          <w:p>
            <w:r/>
            <w:r>
              <w:rPr>
                <w:b w:val="0"/>
                <w:i w:val="0"/>
                <w:sz w:val="16"/>
              </w:rPr>
              <w:t>-</w:t>
            </w:r>
          </w:p>
        </w:tc>
        <w:tc>
          <w:tcPr>
            <w:tcW w:type="dxa" w:w="4762"/>
          </w:tcPr>
          <w:p>
            <w:r/>
            <w:r>
              <w:rPr>
                <w:b w:val="0"/>
                <w:i w:val="0"/>
                <w:sz w:val="16"/>
              </w:rPr>
              <w:t>Liveness</w:t>
            </w:r>
          </w:p>
        </w:tc>
      </w:tr>
      <w:tr>
        <w:tc>
          <w:tcPr>
            <w:tcW w:type="dxa" w:w="3515"/>
          </w:tcPr>
          <w:p>
            <w:r/>
            <w:r>
              <w:rPr>
                <w:b w:val="0"/>
                <w:i w:val="0"/>
                <w:sz w:val="16"/>
              </w:rPr>
              <w:t>GET /api/meta</w:t>
            </w:r>
          </w:p>
        </w:tc>
        <w:tc>
          <w:tcPr>
            <w:tcW w:type="dxa" w:w="1361"/>
          </w:tcPr>
          <w:p>
            <w:r/>
            <w:r>
              <w:rPr>
                <w:b w:val="0"/>
                <w:i w:val="0"/>
                <w:sz w:val="16"/>
              </w:rPr>
              <w:t>-</w:t>
            </w:r>
          </w:p>
        </w:tc>
        <w:tc>
          <w:tcPr>
            <w:tcW w:type="dxa" w:w="4762"/>
          </w:tcPr>
          <w:p>
            <w:r/>
            <w:r>
              <w:rPr>
                <w:b w:val="0"/>
                <w:i w:val="0"/>
                <w:sz w:val="16"/>
              </w:rPr>
              <w:t>Scope, users, clock, AI status, thresholds</w:t>
            </w:r>
          </w:p>
        </w:tc>
      </w:tr>
      <w:tr>
        <w:tc>
          <w:tcPr>
            <w:tcW w:type="dxa" w:w="3515"/>
          </w:tcPr>
          <w:p>
            <w:r/>
            <w:r>
              <w:rPr>
                <w:b w:val="0"/>
                <w:i w:val="0"/>
                <w:sz w:val="16"/>
              </w:rPr>
              <w:t>GET /api/segments/cube</w:t>
            </w:r>
          </w:p>
        </w:tc>
        <w:tc>
          <w:tcPr>
            <w:tcW w:type="dxa" w:w="1361"/>
          </w:tcPr>
          <w:p>
            <w:r/>
            <w:r>
              <w:rPr>
                <w:b w:val="0"/>
                <w:i w:val="0"/>
                <w:sz w:val="16"/>
              </w:rPr>
              <w:t>-</w:t>
            </w:r>
          </w:p>
        </w:tc>
        <w:tc>
          <w:tcPr>
            <w:tcW w:type="dxa" w:w="4762"/>
          </w:tcPr>
          <w:p>
            <w:r/>
            <w:r>
              <w:rPr>
                <w:b w:val="0"/>
                <w:i w:val="0"/>
                <w:sz w:val="16"/>
              </w:rPr>
              <w:t>All segment contexts for client-side math (one call per page load)</w:t>
            </w:r>
          </w:p>
        </w:tc>
      </w:tr>
      <w:tr>
        <w:tc>
          <w:tcPr>
            <w:tcW w:type="dxa" w:w="3515"/>
          </w:tcPr>
          <w:p>
            <w:r/>
            <w:r>
              <w:rPr>
                <w:b w:val="0"/>
                <w:i w:val="0"/>
                <w:sz w:val="16"/>
              </w:rPr>
              <w:t>POST /api/justifications/analyze</w:t>
            </w:r>
          </w:p>
        </w:tc>
        <w:tc>
          <w:tcPr>
            <w:tcW w:type="dxa" w:w="1361"/>
          </w:tcPr>
          <w:p>
            <w:r/>
            <w:r>
              <w:rPr>
                <w:b w:val="0"/>
                <w:i w:val="0"/>
                <w:sz w:val="16"/>
              </w:rPr>
              <w:t>-</w:t>
            </w:r>
          </w:p>
        </w:tc>
        <w:tc>
          <w:tcPr>
            <w:tcW w:type="dxa" w:w="4762"/>
          </w:tcPr>
          <w:p>
            <w:r/>
            <w:r>
              <w:rPr>
                <w:b w:val="0"/>
                <w:i w:val="0"/>
                <w:sz w:val="16"/>
              </w:rPr>
              <w:t>Impact, flags and Jev-structured claim for a draft</w:t>
            </w:r>
          </w:p>
        </w:tc>
      </w:tr>
      <w:tr>
        <w:tc>
          <w:tcPr>
            <w:tcW w:type="dxa" w:w="3515"/>
          </w:tcPr>
          <w:p>
            <w:r/>
            <w:r>
              <w:rPr>
                <w:b w:val="0"/>
                <w:i w:val="0"/>
                <w:sz w:val="16"/>
              </w:rPr>
              <w:t>POST /api/entries</w:t>
            </w:r>
          </w:p>
        </w:tc>
        <w:tc>
          <w:tcPr>
            <w:tcW w:type="dxa" w:w="1361"/>
          </w:tcPr>
          <w:p>
            <w:r/>
            <w:r>
              <w:rPr>
                <w:b w:val="0"/>
                <w:i w:val="0"/>
                <w:sz w:val="16"/>
              </w:rPr>
              <w:t>owning rep</w:t>
            </w:r>
          </w:p>
        </w:tc>
        <w:tc>
          <w:tcPr>
            <w:tcW w:type="dxa" w:w="4762"/>
          </w:tcPr>
          <w:p>
            <w:r/>
            <w:r>
              <w:rPr>
                <w:b w:val="0"/>
                <w:i w:val="0"/>
                <w:sz w:val="16"/>
              </w:rPr>
              <w:t>Validate, recompute, store entry + claim, supersede previous</w:t>
            </w:r>
          </w:p>
        </w:tc>
      </w:tr>
      <w:tr>
        <w:tc>
          <w:tcPr>
            <w:tcW w:type="dxa" w:w="3515"/>
          </w:tcPr>
          <w:p>
            <w:r/>
            <w:r>
              <w:rPr>
                <w:b w:val="0"/>
                <w:i w:val="0"/>
                <w:sz w:val="16"/>
              </w:rPr>
              <w:t>GET /api/entries</w:t>
            </w:r>
          </w:p>
        </w:tc>
        <w:tc>
          <w:tcPr>
            <w:tcW w:type="dxa" w:w="1361"/>
          </w:tcPr>
          <w:p>
            <w:r/>
            <w:r>
              <w:rPr>
                <w:b w:val="0"/>
                <w:i w:val="0"/>
                <w:sz w:val="16"/>
              </w:rPr>
              <w:t>-</w:t>
            </w:r>
          </w:p>
        </w:tc>
        <w:tc>
          <w:tcPr>
            <w:tcW w:type="dxa" w:w="4762"/>
          </w:tcPr>
          <w:p>
            <w:r/>
            <w:r>
              <w:rPr>
                <w:b w:val="0"/>
                <w:i w:val="0"/>
                <w:sz w:val="16"/>
              </w:rPr>
              <w:t>Ledger (filters: segmentId, userId, includeSuperseded, limit)</w:t>
            </w:r>
          </w:p>
        </w:tc>
      </w:tr>
      <w:tr>
        <w:tc>
          <w:tcPr>
            <w:tcW w:type="dxa" w:w="3515"/>
          </w:tcPr>
          <w:p>
            <w:r/>
            <w:r>
              <w:rPr>
                <w:b w:val="0"/>
                <w:i w:val="0"/>
                <w:sz w:val="16"/>
              </w:rPr>
              <w:t>POST /api/demo/advance</w:t>
            </w:r>
          </w:p>
        </w:tc>
        <w:tc>
          <w:tcPr>
            <w:tcW w:type="dxa" w:w="1361"/>
          </w:tcPr>
          <w:p>
            <w:r/>
            <w:r>
              <w:rPr>
                <w:b w:val="0"/>
                <w:i w:val="0"/>
                <w:sz w:val="16"/>
              </w:rPr>
              <w:t>-</w:t>
            </w:r>
          </w:p>
        </w:tc>
        <w:tc>
          <w:tcPr>
            <w:tcW w:type="dxa" w:w="4762"/>
          </w:tcPr>
          <w:p>
            <w:r/>
            <w:r>
              <w:rPr>
                <w:b w:val="0"/>
                <w:i w:val="0"/>
                <w:sz w:val="16"/>
              </w:rPr>
              <w:t>Close month, resolve claims, recompute track records</w:t>
            </w:r>
          </w:p>
        </w:tc>
      </w:tr>
      <w:tr>
        <w:tc>
          <w:tcPr>
            <w:tcW w:type="dxa" w:w="3515"/>
          </w:tcPr>
          <w:p>
            <w:r/>
            <w:r>
              <w:rPr>
                <w:b w:val="0"/>
                <w:i w:val="0"/>
                <w:sz w:val="16"/>
              </w:rPr>
              <w:t>POST /api/demo/reset</w:t>
            </w:r>
          </w:p>
        </w:tc>
        <w:tc>
          <w:tcPr>
            <w:tcW w:type="dxa" w:w="1361"/>
          </w:tcPr>
          <w:p>
            <w:r/>
            <w:r>
              <w:rPr>
                <w:b w:val="0"/>
                <w:i w:val="0"/>
                <w:sz w:val="16"/>
              </w:rPr>
              <w:t>-</w:t>
            </w:r>
          </w:p>
        </w:tc>
        <w:tc>
          <w:tcPr>
            <w:tcW w:type="dxa" w:w="4762"/>
          </w:tcPr>
          <w:p>
            <w:r/>
            <w:r>
              <w:rPr>
                <w:b w:val="0"/>
                <w:i w:val="0"/>
                <w:sz w:val="16"/>
              </w:rPr>
              <w:t>Reseed demo data</w:t>
            </w:r>
          </w:p>
        </w:tc>
      </w:tr>
      <w:tr>
        <w:tc>
          <w:tcPr>
            <w:tcW w:type="dxa" w:w="3515"/>
          </w:tcPr>
          <w:p>
            <w:r/>
            <w:r>
              <w:rPr>
                <w:b w:val="0"/>
                <w:i w:val="0"/>
                <w:sz w:val="16"/>
              </w:rPr>
              <w:t>GET /api/reps</w:t>
            </w:r>
          </w:p>
        </w:tc>
        <w:tc>
          <w:tcPr>
            <w:tcW w:type="dxa" w:w="1361"/>
          </w:tcPr>
          <w:p>
            <w:r/>
            <w:r>
              <w:rPr>
                <w:b w:val="0"/>
                <w:i w:val="0"/>
                <w:sz w:val="16"/>
              </w:rPr>
              <w:t>-</w:t>
            </w:r>
          </w:p>
        </w:tc>
        <w:tc>
          <w:tcPr>
            <w:tcW w:type="dxa" w:w="4762"/>
          </w:tcPr>
          <w:p>
            <w:r/>
            <w:r>
              <w:rPr>
                <w:b w:val="0"/>
                <w:i w:val="0"/>
                <w:sz w:val="16"/>
              </w:rPr>
              <w:t>Track records</w:t>
            </w:r>
          </w:p>
        </w:tc>
      </w:tr>
      <w:tr>
        <w:tc>
          <w:tcPr>
            <w:tcW w:type="dxa" w:w="3515"/>
          </w:tcPr>
          <w:p>
            <w:r/>
            <w:r>
              <w:rPr>
                <w:b w:val="0"/>
                <w:i w:val="0"/>
                <w:sz w:val="16"/>
              </w:rPr>
              <w:t>GET /api/consensus/queue</w:t>
            </w:r>
          </w:p>
        </w:tc>
        <w:tc>
          <w:tcPr>
            <w:tcW w:type="dxa" w:w="1361"/>
          </w:tcPr>
          <w:p>
            <w:r/>
            <w:r>
              <w:rPr>
                <w:b w:val="0"/>
                <w:i w:val="0"/>
                <w:sz w:val="16"/>
              </w:rPr>
              <w:t>-</w:t>
            </w:r>
          </w:p>
        </w:tc>
        <w:tc>
          <w:tcPr>
            <w:tcW w:type="dxa" w:w="4762"/>
          </w:tcPr>
          <w:p>
            <w:r/>
            <w:r>
              <w:rPr>
                <w:b w:val="0"/>
                <w:i w:val="0"/>
                <w:sz w:val="16"/>
              </w:rPr>
              <w:t>Exceptions with reasons + Jev triage; routine entries</w:t>
            </w:r>
          </w:p>
        </w:tc>
      </w:tr>
      <w:tr>
        <w:tc>
          <w:tcPr>
            <w:tcW w:type="dxa" w:w="3515"/>
          </w:tcPr>
          <w:p>
            <w:r/>
            <w:r>
              <w:rPr>
                <w:b w:val="0"/>
                <w:i w:val="0"/>
                <w:sz w:val="16"/>
              </w:rPr>
              <w:t>POST /api/consensus/bulk-approve</w:t>
            </w:r>
          </w:p>
        </w:tc>
        <w:tc>
          <w:tcPr>
            <w:tcW w:type="dxa" w:w="1361"/>
          </w:tcPr>
          <w:p>
            <w:r/>
            <w:r>
              <w:rPr>
                <w:b w:val="0"/>
                <w:i w:val="0"/>
                <w:sz w:val="16"/>
              </w:rPr>
              <w:t>lead</w:t>
            </w:r>
          </w:p>
        </w:tc>
        <w:tc>
          <w:tcPr>
            <w:tcW w:type="dxa" w:w="4762"/>
          </w:tcPr>
          <w:p>
            <w:r/>
            <w:r>
              <w:rPr>
                <w:b w:val="0"/>
                <w:i w:val="0"/>
                <w:sz w:val="16"/>
              </w:rPr>
              <w:t>Approve routine entries</w:t>
            </w:r>
          </w:p>
        </w:tc>
      </w:tr>
      <w:tr>
        <w:tc>
          <w:tcPr>
            <w:tcW w:type="dxa" w:w="3515"/>
          </w:tcPr>
          <w:p>
            <w:r/>
            <w:r>
              <w:rPr>
                <w:b w:val="0"/>
                <w:i w:val="0"/>
                <w:sz w:val="16"/>
              </w:rPr>
              <w:t>POST /api/consensus/entries/{id}/decision</w:t>
            </w:r>
          </w:p>
        </w:tc>
        <w:tc>
          <w:tcPr>
            <w:tcW w:type="dxa" w:w="1361"/>
          </w:tcPr>
          <w:p>
            <w:r/>
            <w:r>
              <w:rPr>
                <w:b w:val="0"/>
                <w:i w:val="0"/>
                <w:sz w:val="16"/>
              </w:rPr>
              <w:t>lead</w:t>
            </w:r>
          </w:p>
        </w:tc>
        <w:tc>
          <w:tcPr>
            <w:tcW w:type="dxa" w:w="4762"/>
          </w:tcPr>
          <w:p>
            <w:r/>
            <w:r>
              <w:rPr>
                <w:b w:val="0"/>
                <w:i w:val="0"/>
                <w:sz w:val="16"/>
              </w:rPr>
              <w:t>approve / discuss / challenge</w:t>
            </w:r>
          </w:p>
        </w:tc>
      </w:tr>
      <w:tr>
        <w:tc>
          <w:tcPr>
            <w:tcW w:type="dxa" w:w="3515"/>
          </w:tcPr>
          <w:p>
            <w:r/>
            <w:r>
              <w:rPr>
                <w:b w:val="0"/>
                <w:i w:val="0"/>
                <w:sz w:val="16"/>
              </w:rPr>
              <w:t>POST /api/consensus/rtb</w:t>
            </w:r>
          </w:p>
        </w:tc>
        <w:tc>
          <w:tcPr>
            <w:tcW w:type="dxa" w:w="1361"/>
          </w:tcPr>
          <w:p>
            <w:r/>
            <w:r>
              <w:rPr>
                <w:b w:val="0"/>
                <w:i w:val="0"/>
                <w:sz w:val="16"/>
              </w:rPr>
              <w:t>-</w:t>
            </w:r>
          </w:p>
        </w:tc>
        <w:tc>
          <w:tcPr>
            <w:tcW w:type="dxa" w:w="4762"/>
          </w:tcPr>
          <w:p>
            <w:r/>
            <w:r>
              <w:rPr>
                <w:b w:val="0"/>
                <w:i w:val="0"/>
                <w:sz w:val="16"/>
              </w:rPr>
              <w:t>Reasons-to-believe draft (Gemini or template)</w:t>
            </w:r>
          </w:p>
        </w:tc>
      </w:tr>
      <w:tr>
        <w:tc>
          <w:tcPr>
            <w:tcW w:type="dxa" w:w="3515"/>
          </w:tcPr>
          <w:p>
            <w:r/>
            <w:r>
              <w:rPr>
                <w:b w:val="0"/>
                <w:i w:val="0"/>
                <w:sz w:val="16"/>
              </w:rPr>
              <w:t>GET /api/export/supply.csv</w:t>
            </w:r>
          </w:p>
        </w:tc>
        <w:tc>
          <w:tcPr>
            <w:tcW w:type="dxa" w:w="1361"/>
          </w:tcPr>
          <w:p>
            <w:r/>
            <w:r>
              <w:rPr>
                <w:b w:val="0"/>
                <w:i w:val="0"/>
                <w:sz w:val="16"/>
              </w:rPr>
              <w:t>-</w:t>
            </w:r>
          </w:p>
        </w:tc>
        <w:tc>
          <w:tcPr>
            <w:tcW w:type="dxa" w:w="4762"/>
          </w:tcPr>
          <w:p>
            <w:r/>
            <w:r>
              <w:rPr>
                <w:b w:val="0"/>
                <w:i w:val="0"/>
                <w:sz w:val="16"/>
              </w:rPr>
              <w:t>Approved supply range</w:t>
            </w:r>
          </w:p>
        </w:tc>
      </w:tr>
      <w:tr>
        <w:tc>
          <w:tcPr>
            <w:tcW w:type="dxa" w:w="3515"/>
          </w:tcPr>
          <w:p>
            <w:r/>
            <w:r>
              <w:rPr>
                <w:b w:val="0"/>
                <w:i w:val="0"/>
                <w:sz w:val="16"/>
              </w:rPr>
              <w:t>GET /api/data-quality</w:t>
            </w:r>
          </w:p>
        </w:tc>
        <w:tc>
          <w:tcPr>
            <w:tcW w:type="dxa" w:w="1361"/>
          </w:tcPr>
          <w:p>
            <w:r/>
            <w:r>
              <w:rPr>
                <w:b w:val="0"/>
                <w:i w:val="0"/>
                <w:sz w:val="16"/>
              </w:rPr>
              <w:t>-</w:t>
            </w:r>
          </w:p>
        </w:tc>
        <w:tc>
          <w:tcPr>
            <w:tcW w:type="dxa" w:w="4762"/>
          </w:tcPr>
          <w:p>
            <w:r/>
            <w:r>
              <w:rPr>
                <w:b w:val="0"/>
                <w:i w:val="0"/>
                <w:sz w:val="16"/>
              </w:rPr>
              <w:t>Ingest report</w:t>
            </w:r>
          </w:p>
        </w:tc>
      </w:tr>
    </w:tbl>
    <w:p>
      <w:pPr>
        <w:spacing w:after="40"/>
      </w:pPr>
    </w:p>
    <w:p>
      <w:pPr>
        <w:pStyle w:val="Heading1"/>
      </w:pPr>
      <w:r>
        <w:t>19. Deployment and operations</w:t>
      </w:r>
    </w:p>
    <w:p>
      <w:pPr>
        <w:spacing w:after="40"/>
      </w:pPr>
      <w:r>
        <w:rPr>
          <w:b/>
          <w:sz w:val="18"/>
        </w:rPr>
        <w:t>Table 27. Production configuration</w:t>
      </w:r>
    </w:p>
    <w:tbl>
      <w:tblPr>
        <w:tblStyle w:val="LightGrid-Accent1"/>
        <w:tblW w:type="auto" w:w="0"/>
        <w:jc w:val="center"/>
        <w:tblLook w:firstColumn="1" w:firstRow="1" w:lastColumn="0" w:lastRow="0" w:noHBand="0" w:noVBand="1" w:val="04A0"/>
      </w:tblPr>
      <w:tblGrid>
        <w:gridCol w:w="4819"/>
        <w:gridCol w:w="4819"/>
      </w:tblGrid>
      <w:tr>
        <w:tc>
          <w:tcPr>
            <w:tcW w:type="dxa" w:w="2551"/>
          </w:tcPr>
          <w:p>
            <w:r/>
            <w:r>
              <w:rPr>
                <w:b/>
                <w:sz w:val="17"/>
              </w:rPr>
              <w:t>Item</w:t>
            </w:r>
          </w:p>
        </w:tc>
        <w:tc>
          <w:tcPr>
            <w:tcW w:type="dxa" w:w="7087"/>
          </w:tcPr>
          <w:p>
            <w:r/>
            <w:r>
              <w:rPr>
                <w:b/>
                <w:sz w:val="17"/>
              </w:rPr>
              <w:t>Value</w:t>
            </w:r>
          </w:p>
        </w:tc>
      </w:tr>
      <w:tr>
        <w:tc>
          <w:tcPr>
            <w:tcW w:type="dxa" w:w="2551"/>
          </w:tcPr>
          <w:p>
            <w:r/>
            <w:r>
              <w:rPr>
                <w:b w:val="0"/>
                <w:i w:val="0"/>
                <w:sz w:val="17"/>
              </w:rPr>
              <w:t>Live URL (Firebase Hosting)</w:t>
            </w:r>
          </w:p>
        </w:tc>
        <w:tc>
          <w:tcPr>
            <w:tcW w:type="dxa" w:w="7087"/>
          </w:tcPr>
          <w:p>
            <w:r/>
            <w:r>
              <w:rPr>
                <w:b w:val="0"/>
                <w:i w:val="0"/>
                <w:sz w:val="17"/>
              </w:rPr>
              <w:t>https://skystream-510015.web.app</w:t>
            </w:r>
          </w:p>
        </w:tc>
      </w:tr>
      <w:tr>
        <w:tc>
          <w:tcPr>
            <w:tcW w:type="dxa" w:w="2551"/>
          </w:tcPr>
          <w:p>
            <w:r/>
            <w:r>
              <w:rPr>
                <w:b w:val="0"/>
                <w:i w:val="0"/>
                <w:sz w:val="17"/>
              </w:rPr>
              <w:t>Cloud Run URL</w:t>
            </w:r>
          </w:p>
        </w:tc>
        <w:tc>
          <w:tcPr>
            <w:tcW w:type="dxa" w:w="7087"/>
          </w:tcPr>
          <w:p>
            <w:r/>
            <w:r>
              <w:rPr>
                <w:b w:val="0"/>
                <w:i w:val="0"/>
                <w:sz w:val="17"/>
              </w:rPr>
              <w:t>https://skystream-api-842137351485.us-central1.run.app</w:t>
            </w:r>
          </w:p>
        </w:tc>
      </w:tr>
      <w:tr>
        <w:tc>
          <w:tcPr>
            <w:tcW w:type="dxa" w:w="2551"/>
          </w:tcPr>
          <w:p>
            <w:r/>
            <w:r>
              <w:rPr>
                <w:b w:val="0"/>
                <w:i w:val="0"/>
                <w:sz w:val="17"/>
              </w:rPr>
              <w:t>GCP project</w:t>
            </w:r>
          </w:p>
        </w:tc>
        <w:tc>
          <w:tcPr>
            <w:tcW w:type="dxa" w:w="7087"/>
          </w:tcPr>
          <w:p>
            <w:r/>
            <w:r>
              <w:rPr>
                <w:b w:val="0"/>
                <w:i w:val="0"/>
                <w:sz w:val="17"/>
              </w:rPr>
              <w:t>skystream-510015 (billing account 0173FC-2DDC0C-483654)</w:t>
            </w:r>
          </w:p>
        </w:tc>
      </w:tr>
      <w:tr>
        <w:tc>
          <w:tcPr>
            <w:tcW w:type="dxa" w:w="2551"/>
          </w:tcPr>
          <w:p>
            <w:r/>
            <w:r>
              <w:rPr>
                <w:b w:val="0"/>
                <w:i w:val="0"/>
                <w:sz w:val="17"/>
              </w:rPr>
              <w:t>Cloud Run service</w:t>
            </w:r>
          </w:p>
        </w:tc>
        <w:tc>
          <w:tcPr>
            <w:tcW w:type="dxa" w:w="7087"/>
          </w:tcPr>
          <w:p>
            <w:r/>
            <w:r>
              <w:rPr>
                <w:b w:val="0"/>
                <w:i w:val="0"/>
                <w:sz w:val="17"/>
              </w:rPr>
              <w:t>skystream-api, us-central1, max 1 instance, min 0, 1 GiB, port 8080</w:t>
            </w:r>
          </w:p>
        </w:tc>
      </w:tr>
      <w:tr>
        <w:tc>
          <w:tcPr>
            <w:tcW w:type="dxa" w:w="2551"/>
          </w:tcPr>
          <w:p>
            <w:r/>
            <w:r>
              <w:rPr>
                <w:b w:val="0"/>
                <w:i w:val="0"/>
                <w:sz w:val="17"/>
              </w:rPr>
              <w:t>Image</w:t>
            </w:r>
          </w:p>
        </w:tc>
        <w:tc>
          <w:tcPr>
            <w:tcW w:type="dxa" w:w="7087"/>
          </w:tcPr>
          <w:p>
            <w:r/>
            <w:r>
              <w:rPr>
                <w:b w:val="0"/>
                <w:i w:val="0"/>
                <w:sz w:val="17"/>
              </w:rPr>
              <w:t>us-central1-docker.pkg.dev/skystream-510015/skystream/api:latest (Cloud Build, multi-stage: Node builds SPA, Python runs API)</w:t>
            </w:r>
          </w:p>
        </w:tc>
      </w:tr>
      <w:tr>
        <w:tc>
          <w:tcPr>
            <w:tcW w:type="dxa" w:w="2551"/>
          </w:tcPr>
          <w:p>
            <w:r/>
            <w:r>
              <w:rPr>
                <w:b w:val="0"/>
                <w:i w:val="0"/>
                <w:sz w:val="17"/>
              </w:rPr>
              <w:t>Service account</w:t>
            </w:r>
          </w:p>
        </w:tc>
        <w:tc>
          <w:tcPr>
            <w:tcW w:type="dxa" w:w="7087"/>
          </w:tcPr>
          <w:p>
            <w:r/>
            <w:r>
              <w:rPr>
                <w:b w:val="0"/>
                <w:i w:val="0"/>
                <w:sz w:val="17"/>
              </w:rPr>
              <w:t>skystream-api@skystream-510015.iam.gserviceaccount.com: roles/aiplatform.user, secretAccessor on jev-api-key</w:t>
            </w:r>
          </w:p>
        </w:tc>
      </w:tr>
      <w:tr>
        <w:tc>
          <w:tcPr>
            <w:tcW w:type="dxa" w:w="2551"/>
          </w:tcPr>
          <w:p>
            <w:r/>
            <w:r>
              <w:rPr>
                <w:b w:val="0"/>
                <w:i w:val="0"/>
                <w:sz w:val="17"/>
              </w:rPr>
              <w:t>Secret</w:t>
            </w:r>
          </w:p>
        </w:tc>
        <w:tc>
          <w:tcPr>
            <w:tcW w:type="dxa" w:w="7087"/>
          </w:tcPr>
          <w:p>
            <w:r/>
            <w:r>
              <w:rPr>
                <w:b w:val="0"/>
                <w:i w:val="0"/>
                <w:sz w:val="17"/>
              </w:rPr>
              <w:t>jev-api-key -&gt; JEV_API_KEY</w:t>
            </w:r>
          </w:p>
        </w:tc>
      </w:tr>
      <w:tr>
        <w:tc>
          <w:tcPr>
            <w:tcW w:type="dxa" w:w="2551"/>
          </w:tcPr>
          <w:p>
            <w:r/>
            <w:r>
              <w:rPr>
                <w:b w:val="0"/>
                <w:i w:val="0"/>
                <w:sz w:val="17"/>
              </w:rPr>
              <w:t>Environment</w:t>
            </w:r>
          </w:p>
        </w:tc>
        <w:tc>
          <w:tcPr>
            <w:tcW w:type="dxa" w:w="7087"/>
          </w:tcPr>
          <w:p>
            <w:r/>
            <w:r>
              <w:rPr>
                <w:b w:val="0"/>
                <w:i w:val="0"/>
                <w:sz w:val="17"/>
              </w:rPr>
              <w:t>AI_MODE=live, GEMINI_ENABLED=true, GCP_PROJECT=skystream-510015, GCP_LOCATION=global, DATABASE_URL=sqlite (per instance)</w:t>
            </w:r>
          </w:p>
        </w:tc>
      </w:tr>
      <w:tr>
        <w:tc>
          <w:tcPr>
            <w:tcW w:type="dxa" w:w="2551"/>
          </w:tcPr>
          <w:p>
            <w:r/>
            <w:r>
              <w:rPr>
                <w:b w:val="0"/>
                <w:i w:val="0"/>
                <w:sz w:val="17"/>
              </w:rPr>
              <w:t>Deploy</w:t>
            </w:r>
          </w:p>
        </w:tc>
        <w:tc>
          <w:tcPr>
            <w:tcW w:type="dxa" w:w="7087"/>
          </w:tcPr>
          <w:p>
            <w:r/>
            <w:r>
              <w:rPr>
                <w:b w:val="0"/>
                <w:i w:val="0"/>
                <w:sz w:val="17"/>
              </w:rPr>
              <w:t>deploy/deploy.sh (APIs, registry, SA, build, run deploy, firebase deploy)</w:t>
            </w:r>
          </w:p>
        </w:tc>
      </w:tr>
    </w:tbl>
    <w:p>
      <w:pPr>
        <w:spacing w:after="40"/>
      </w:pPr>
    </w:p>
    <w:p>
      <w:pPr>
        <w:spacing w:after="120"/>
      </w:pPr>
      <w:r>
        <w:rPr>
          <w:b w:val="0"/>
          <w:i w:val="0"/>
        </w:rPr>
        <w:t>Local development: npm install; cd backend &amp;&amp; uv sync &amp;&amp; uv run alembic upgrade head &amp;&amp; uv run python seed.py; npm run dev (API :8000, web :5173). npm run ingest rebuilds data/seed from data/raw/*.xlsx.</w:t>
      </w:r>
    </w:p>
    <w:p>
      <w:pPr>
        <w:pStyle w:val="Heading1"/>
      </w:pPr>
      <w:r>
        <w:t>20. Testing and quality</w:t>
      </w:r>
    </w:p>
    <w:p>
      <w:pPr>
        <w:pStyle w:val="ListBullet"/>
        <w:spacing w:after="40"/>
      </w:pPr>
      <w:r>
        <w:rPr>
          <w:b/>
          <w:i w:val="0"/>
        </w:rPr>
        <w:t>Backend (pytest, 37 tests)</w:t>
      </w:r>
      <w:r>
        <w:rPr>
          <w:b w:val="0"/>
          <w:i w:val="0"/>
        </w:rPr>
        <w:t>: golden math cases, flag rules, claim-consistency checks, decision provider (offline, recorded fixture, live mocked, Jev failure, low-confidence, Gemini fallback and summary), full API loop (flag enforcement, ownership, closed months, supersede, consensus, advance, CSV, RTB, track records, reset, data quality).</w:t>
      </w:r>
    </w:p>
    <w:p>
      <w:pPr>
        <w:pStyle w:val="ListBullet"/>
        <w:spacing w:after="40"/>
      </w:pPr>
      <w:r>
        <w:rPr>
          <w:b/>
          <w:i w:val="0"/>
        </w:rPr>
        <w:t>Frontend (vitest, 22 tests)</w:t>
      </w:r>
      <w:r>
        <w:rPr>
          <w:b w:val="0"/>
          <w:i w:val="0"/>
        </w:rPr>
        <w:t>: TypeScript math and flags against the same golden cases; tile components.</w:t>
      </w:r>
    </w:p>
    <w:p>
      <w:pPr>
        <w:pStyle w:val="ListBullet"/>
        <w:spacing w:after="40"/>
      </w:pPr>
      <w:r>
        <w:rPr>
          <w:b/>
          <w:i w:val="0"/>
        </w:rPr>
        <w:t>End to end (Playwright)</w:t>
      </w:r>
      <w:r>
        <w:rPr>
          <w:b w:val="0"/>
          <w:i w:val="0"/>
        </w:rPr>
        <w:t>: the demo script from capture to track record, run locally and against production.</w:t>
      </w:r>
    </w:p>
    <w:p>
      <w:pPr>
        <w:pStyle w:val="ListBullet"/>
        <w:spacing w:after="40"/>
      </w:pPr>
      <w:r>
        <w:rPr>
          <w:b/>
          <w:i w:val="0"/>
        </w:rPr>
        <w:t>Static checks</w:t>
      </w:r>
      <w:r>
        <w:rPr>
          <w:b w:val="0"/>
          <w:i w:val="0"/>
        </w:rPr>
        <w:t>: ruff (lint + format) and TypeScript strict type check.</w:t>
      </w:r>
    </w:p>
    <w:p>
      <w:pPr>
        <w:pStyle w:val="Heading1"/>
      </w:pPr>
      <w:r>
        <w:t>21. Limitations, risks and next steps</w:t>
      </w:r>
    </w:p>
    <w:p>
      <w:pPr>
        <w:spacing w:after="40"/>
      </w:pPr>
      <w:r>
        <w:rPr>
          <w:b/>
          <w:sz w:val="18"/>
        </w:rPr>
        <w:t>Table 28. Limitations and next steps</w:t>
      </w:r>
    </w:p>
    <w:tbl>
      <w:tblPr>
        <w:tblStyle w:val="LightGrid-Accent1"/>
        <w:tblW w:type="auto" w:w="0"/>
        <w:jc w:val="center"/>
        <w:tblLook w:firstColumn="1" w:firstRow="1" w:lastColumn="0" w:lastRow="0" w:noHBand="0" w:noVBand="1" w:val="04A0"/>
      </w:tblPr>
      <w:tblGrid>
        <w:gridCol w:w="3213"/>
        <w:gridCol w:w="3213"/>
        <w:gridCol w:w="3213"/>
      </w:tblGrid>
      <w:tr>
        <w:tc>
          <w:tcPr>
            <w:tcW w:type="dxa" w:w="1701"/>
          </w:tcPr>
          <w:p>
            <w:r/>
            <w:r>
              <w:rPr>
                <w:b/>
                <w:sz w:val="16"/>
              </w:rPr>
              <w:t>Area</w:t>
            </w:r>
          </w:p>
        </w:tc>
        <w:tc>
          <w:tcPr>
            <w:tcW w:type="dxa" w:w="3969"/>
          </w:tcPr>
          <w:p>
            <w:r/>
            <w:r>
              <w:rPr>
                <w:b/>
                <w:sz w:val="16"/>
              </w:rPr>
              <w:t>Current state</w:t>
            </w:r>
          </w:p>
        </w:tc>
        <w:tc>
          <w:tcPr>
            <w:tcW w:type="dxa" w:w="3969"/>
          </w:tcPr>
          <w:p>
            <w:r/>
            <w:r>
              <w:rPr>
                <w:b/>
                <w:sz w:val="16"/>
              </w:rPr>
              <w:t>Next step</w:t>
            </w:r>
          </w:p>
        </w:tc>
      </w:tr>
      <w:tr>
        <w:tc>
          <w:tcPr>
            <w:tcW w:type="dxa" w:w="1701"/>
          </w:tcPr>
          <w:p>
            <w:r/>
            <w:r>
              <w:rPr>
                <w:b w:val="0"/>
                <w:i w:val="0"/>
                <w:sz w:val="16"/>
              </w:rPr>
              <w:t>Authentication</w:t>
            </w:r>
          </w:p>
        </w:tc>
        <w:tc>
          <w:tcPr>
            <w:tcW w:type="dxa" w:w="3969"/>
          </w:tcPr>
          <w:p>
            <w:r/>
            <w:r>
              <w:rPr>
                <w:b w:val="0"/>
                <w:i w:val="0"/>
                <w:sz w:val="16"/>
              </w:rPr>
              <w:t>Role switcher via header</w:t>
            </w:r>
          </w:p>
        </w:tc>
        <w:tc>
          <w:tcPr>
            <w:tcW w:type="dxa" w:w="3969"/>
          </w:tcPr>
          <w:p>
            <w:r/>
            <w:r>
              <w:rPr>
                <w:b w:val="0"/>
                <w:i w:val="0"/>
                <w:sz w:val="16"/>
              </w:rPr>
              <w:t>Firebase Auth / SSO with role claims</w:t>
            </w:r>
          </w:p>
        </w:tc>
      </w:tr>
      <w:tr>
        <w:tc>
          <w:tcPr>
            <w:tcW w:type="dxa" w:w="1701"/>
          </w:tcPr>
          <w:p>
            <w:r/>
            <w:r>
              <w:rPr>
                <w:b w:val="0"/>
                <w:i w:val="0"/>
                <w:sz w:val="16"/>
              </w:rPr>
              <w:t>Persistence</w:t>
            </w:r>
          </w:p>
        </w:tc>
        <w:tc>
          <w:tcPr>
            <w:tcW w:type="dxa" w:w="3969"/>
          </w:tcPr>
          <w:p>
            <w:r/>
            <w:r>
              <w:rPr>
                <w:b w:val="0"/>
                <w:i w:val="0"/>
                <w:sz w:val="16"/>
              </w:rPr>
              <w:t>SQLite per Cloud Run instance, reset on cold start; brief inconsistency possible if a second instance starts</w:t>
            </w:r>
          </w:p>
        </w:tc>
        <w:tc>
          <w:tcPr>
            <w:tcW w:type="dxa" w:w="3969"/>
          </w:tcPr>
          <w:p>
            <w:r/>
            <w:r>
              <w:rPr>
                <w:b w:val="0"/>
                <w:i w:val="0"/>
                <w:sz w:val="16"/>
              </w:rPr>
              <w:t>Cloud SQL Postgres (already supported) or min-instances=1</w:t>
            </w:r>
          </w:p>
        </w:tc>
      </w:tr>
      <w:tr>
        <w:tc>
          <w:tcPr>
            <w:tcW w:type="dxa" w:w="1701"/>
          </w:tcPr>
          <w:p>
            <w:r/>
            <w:r>
              <w:rPr>
                <w:b w:val="0"/>
                <w:i w:val="0"/>
                <w:sz w:val="16"/>
              </w:rPr>
              <w:t>Monthly data</w:t>
            </w:r>
          </w:p>
        </w:tc>
        <w:tc>
          <w:tcPr>
            <w:tcW w:type="dxa" w:w="3969"/>
          </w:tcPr>
          <w:p>
            <w:r/>
            <w:r>
              <w:rPr>
                <w:b w:val="0"/>
                <w:i w:val="0"/>
                <w:sz w:val="16"/>
              </w:rPr>
              <w:t>Synthetic curves and actuals</w:t>
            </w:r>
          </w:p>
        </w:tc>
        <w:tc>
          <w:tcPr>
            <w:tcW w:type="dxa" w:w="3969"/>
          </w:tcPr>
          <w:p>
            <w:r/>
            <w:r>
              <w:rPr>
                <w:b w:val="0"/>
                <w:i w:val="0"/>
                <w:sz w:val="16"/>
              </w:rPr>
              <w:t>Confirm seasonality; load real monthly demand and year-to-date actuals</w:t>
            </w:r>
          </w:p>
        </w:tc>
      </w:tr>
      <w:tr>
        <w:tc>
          <w:tcPr>
            <w:tcW w:type="dxa" w:w="1701"/>
          </w:tcPr>
          <w:p>
            <w:r/>
            <w:r>
              <w:rPr>
                <w:b w:val="0"/>
                <w:i w:val="0"/>
                <w:sz w:val="16"/>
              </w:rPr>
              <w:t>Claim signals</w:t>
            </w:r>
          </w:p>
        </w:tc>
        <w:tc>
          <w:tcPr>
            <w:tcW w:type="dxa" w:w="3969"/>
          </w:tcPr>
          <w:p>
            <w:r/>
            <w:r>
              <w:rPr>
                <w:b w:val="0"/>
                <w:i w:val="0"/>
                <w:sz w:val="16"/>
              </w:rPr>
              <w:t>Competitor and hectare claims checked against monthly sales</w:t>
            </w:r>
          </w:p>
        </w:tc>
        <w:tc>
          <w:tcPr>
            <w:tcW w:type="dxa" w:w="3969"/>
          </w:tcPr>
          <w:p>
            <w:r/>
            <w:r>
              <w:rPr>
                <w:b w:val="0"/>
                <w:i w:val="0"/>
                <w:sz w:val="16"/>
              </w:rPr>
              <w:t>Add competitor-share and MAPA/ESYRCE hectare feeds</w:t>
            </w:r>
          </w:p>
        </w:tc>
      </w:tr>
      <w:tr>
        <w:tc>
          <w:tcPr>
            <w:tcW w:type="dxa" w:w="1701"/>
          </w:tcPr>
          <w:p>
            <w:r/>
            <w:r>
              <w:rPr>
                <w:b w:val="0"/>
                <w:i w:val="0"/>
                <w:sz w:val="16"/>
              </w:rPr>
              <w:t>Jev</w:t>
            </w:r>
          </w:p>
        </w:tc>
        <w:tc>
          <w:tcPr>
            <w:tcW w:type="dxa" w:w="3969"/>
          </w:tcPr>
          <w:p>
            <w:r/>
            <w:r>
              <w:rPr>
                <w:b w:val="0"/>
                <w:i w:val="0"/>
                <w:sz w:val="16"/>
              </w:rPr>
              <w:t>Early-access model; confidence gating + Gemini fallback + offline decider</w:t>
            </w:r>
          </w:p>
        </w:tc>
        <w:tc>
          <w:tcPr>
            <w:tcW w:type="dxa" w:w="3969"/>
          </w:tcPr>
          <w:p>
            <w:r/>
            <w:r>
              <w:rPr>
                <w:b w:val="0"/>
                <w:i w:val="0"/>
                <w:sz w:val="16"/>
              </w:rPr>
              <w:t>Record fixtures for demos; tune option wording and 0.8 threshold on labelled examples</w:t>
            </w:r>
          </w:p>
        </w:tc>
      </w:tr>
      <w:tr>
        <w:tc>
          <w:tcPr>
            <w:tcW w:type="dxa" w:w="1701"/>
          </w:tcPr>
          <w:p>
            <w:r/>
            <w:r>
              <w:rPr>
                <w:b w:val="0"/>
                <w:i w:val="0"/>
                <w:sz w:val="16"/>
              </w:rPr>
              <w:t>Thresholds</w:t>
            </w:r>
          </w:p>
        </w:tc>
        <w:tc>
          <w:tcPr>
            <w:tcW w:type="dxa" w:w="3969"/>
          </w:tcPr>
          <w:p>
            <w:r/>
            <w:r>
              <w:rPr>
                <w:b w:val="0"/>
                <w:i w:val="0"/>
                <w:sz w:val="16"/>
              </w:rPr>
              <w:t>Defaults (10 pts, 2 sigma, 30% range, 70% price share)</w:t>
            </w:r>
          </w:p>
        </w:tc>
        <w:tc>
          <w:tcPr>
            <w:tcW w:type="dxa" w:w="3969"/>
          </w:tcPr>
          <w:p>
            <w:r/>
            <w:r>
              <w:rPr>
                <w:b w:val="0"/>
                <w:i w:val="0"/>
                <w:sz w:val="16"/>
              </w:rPr>
              <w:t>Calibrate with the SMEs</w:t>
            </w:r>
          </w:p>
        </w:tc>
      </w:tr>
      <w:tr>
        <w:tc>
          <w:tcPr>
            <w:tcW w:type="dxa" w:w="1701"/>
          </w:tcPr>
          <w:p>
            <w:r/>
            <w:r>
              <w:rPr>
                <w:b w:val="0"/>
                <w:i w:val="0"/>
                <w:sz w:val="16"/>
              </w:rPr>
              <w:t>Scope</w:t>
            </w:r>
          </w:p>
        </w:tc>
        <w:tc>
          <w:tcPr>
            <w:tcW w:type="dxa" w:w="3969"/>
          </w:tcPr>
          <w:p>
            <w:r/>
            <w:r>
              <w:rPr>
                <w:b w:val="0"/>
                <w:i w:val="0"/>
                <w:sz w:val="16"/>
              </w:rPr>
              <w:t>One crop, one country</w:t>
            </w:r>
          </w:p>
        </w:tc>
        <w:tc>
          <w:tcPr>
            <w:tcW w:type="dxa" w:w="3969"/>
          </w:tcPr>
          <w:p>
            <w:r/>
            <w:r>
              <w:rPr>
                <w:b w:val="0"/>
                <w:i w:val="0"/>
                <w:sz w:val="16"/>
              </w:rPr>
              <w:t>Territory roll-up and more crops after the MVP</w:t>
            </w:r>
          </w:p>
        </w:tc>
      </w:tr>
    </w:tbl>
    <w:p>
      <w:pPr>
        <w:spacing w:after="40"/>
      </w:pPr>
    </w:p>
    <w:p>
      <w:pPr>
        <w:pStyle w:val="Heading2"/>
      </w:pPr>
      <w:r>
        <w:t>21.1 Open questions for the SMEs</w:t>
      </w:r>
    </w:p>
    <w:p>
      <w:pPr>
        <w:pStyle w:val="ListBullet"/>
        <w:spacing w:after="40"/>
      </w:pPr>
      <w:r>
        <w:rPr>
          <w:b w:val="0"/>
          <w:i w:val="0"/>
        </w:rPr>
        <w:t>Are the 2024-2025 Sales rows actuals and 2026+ the plan? Where do monthly demand and year-to-date actuals live today?</w:t>
      </w:r>
    </w:p>
    <w:p>
      <w:pPr>
        <w:pStyle w:val="ListBullet"/>
        <w:spacing w:after="40"/>
      </w:pPr>
      <w:r>
        <w:rPr>
          <w:b w:val="0"/>
          <w:i w:val="0"/>
        </w:rPr>
        <w:t>Entry unit and level: thousand seeds per micro-segment, or per mega-segment?</w:t>
      </w:r>
    </w:p>
    <w:p>
      <w:pPr>
        <w:pStyle w:val="ListBullet"/>
        <w:spacing w:after="40"/>
      </w:pPr>
      <w:r>
        <w:rPr>
          <w:b w:val="0"/>
          <w:i w:val="0"/>
        </w:rPr>
        <w:t>Monthly seasonality for Blocky PGH seed in Spain.</w:t>
      </w:r>
    </w:p>
    <w:p>
      <w:pPr>
        <w:pStyle w:val="ListBullet"/>
        <w:spacing w:after="40"/>
      </w:pPr>
      <w:r>
        <w:rPr>
          <w:b w:val="0"/>
          <w:i w:val="0"/>
        </w:rPr>
        <w:t>Meaning of FPI and whether launch quantities count toward share.</w:t>
      </w:r>
    </w:p>
    <w:p>
      <w:pPr>
        <w:pStyle w:val="ListBullet"/>
        <w:spacing w:after="40"/>
      </w:pPr>
      <w:r>
        <w:rPr>
          <w:b w:val="0"/>
          <w:i w:val="0"/>
        </w:rPr>
        <w:t>Plausibility thresholds the business would trust.</w:t>
      </w:r>
    </w:p>
    <w:p>
      <w:pPr>
        <w:pStyle w:val="ListBullet"/>
        <w:spacing w:after="40"/>
      </w:pPr>
      <w:r>
        <w:rPr>
          <w:b w:val="0"/>
          <w:i w:val="0"/>
        </w:rPr>
        <w:t>Seed production lead time and current excess / write-off rate (to size the supply-range benefit).</w:t>
      </w:r>
    </w:p>
    <w:p>
      <w:pPr>
        <w:pStyle w:val="ListBullet"/>
        <w:spacing w:after="40"/>
      </w:pPr>
      <w:r>
        <w:rPr>
          <w:b w:val="0"/>
          <w:i w:val="0"/>
        </w:rPr>
        <w:t>Clearance to use real Syngenta figures and to send (synthetic) text to Jev's hosted API.</w:t>
      </w:r>
    </w:p>
    <w:p>
      <w:pPr>
        <w:pStyle w:val="Heading1"/>
      </w:pPr>
      <w:r>
        <w:t>22. Glossary</w:t>
      </w:r>
    </w:p>
    <w:p>
      <w:pPr>
        <w:spacing w:after="40"/>
      </w:pPr>
      <w:r>
        <w:rPr>
          <w:b/>
          <w:sz w:val="18"/>
        </w:rPr>
        <w:t>Table 29. Terms</w:t>
      </w:r>
    </w:p>
    <w:tbl>
      <w:tblPr>
        <w:tblStyle w:val="LightGrid-Accent1"/>
        <w:tblW w:type="auto" w:w="0"/>
        <w:jc w:val="center"/>
        <w:tblLook w:firstColumn="1" w:firstRow="1" w:lastColumn="0" w:lastRow="0" w:noHBand="0" w:noVBand="1" w:val="04A0"/>
      </w:tblPr>
      <w:tblGrid>
        <w:gridCol w:w="4819"/>
        <w:gridCol w:w="4819"/>
      </w:tblGrid>
      <w:tr>
        <w:tc>
          <w:tcPr>
            <w:tcW w:type="dxa" w:w="2551"/>
          </w:tcPr>
          <w:p>
            <w:r/>
            <w:r>
              <w:rPr>
                <w:b/>
                <w:sz w:val="17"/>
              </w:rPr>
              <w:t>Term</w:t>
            </w:r>
          </w:p>
        </w:tc>
        <w:tc>
          <w:tcPr>
            <w:tcW w:type="dxa" w:w="7087"/>
          </w:tcPr>
          <w:p>
            <w:r/>
            <w:r>
              <w:rPr>
                <w:b/>
                <w:sz w:val="17"/>
              </w:rPr>
              <w:t>Meaning</w:t>
            </w:r>
          </w:p>
        </w:tc>
      </w:tr>
      <w:tr>
        <w:tc>
          <w:tcPr>
            <w:tcW w:type="dxa" w:w="2551"/>
          </w:tcPr>
          <w:p>
            <w:r/>
            <w:r>
              <w:rPr>
                <w:b w:val="0"/>
                <w:i w:val="0"/>
                <w:sz w:val="17"/>
              </w:rPr>
              <w:t>KS</w:t>
            </w:r>
          </w:p>
        </w:tc>
        <w:tc>
          <w:tcPr>
            <w:tcW w:type="dxa" w:w="7087"/>
          </w:tcPr>
          <w:p>
            <w:r/>
            <w:r>
              <w:rPr>
                <w:b w:val="0"/>
                <w:i w:val="0"/>
                <w:sz w:val="17"/>
              </w:rPr>
              <w:t>Thousand seeds, the unit of market and Syngenta quantity</w:t>
            </w:r>
          </w:p>
        </w:tc>
      </w:tr>
      <w:tr>
        <w:tc>
          <w:tcPr>
            <w:tcW w:type="dxa" w:w="2551"/>
          </w:tcPr>
          <w:p>
            <w:r/>
            <w:r>
              <w:rPr>
                <w:b w:val="0"/>
                <w:i w:val="0"/>
                <w:sz w:val="17"/>
              </w:rPr>
              <w:t>PGH</w:t>
            </w:r>
          </w:p>
        </w:tc>
        <w:tc>
          <w:tcPr>
            <w:tcW w:type="dxa" w:w="7087"/>
          </w:tcPr>
          <w:p>
            <w:r/>
            <w:r>
              <w:rPr>
                <w:b w:val="0"/>
                <w:i w:val="0"/>
                <w:sz w:val="17"/>
              </w:rPr>
              <w:t>Passive greenhouse</w:t>
            </w:r>
          </w:p>
        </w:tc>
      </w:tr>
      <w:tr>
        <w:tc>
          <w:tcPr>
            <w:tcW w:type="dxa" w:w="2551"/>
          </w:tcPr>
          <w:p>
            <w:r/>
            <w:r>
              <w:rPr>
                <w:b w:val="0"/>
                <w:i w:val="0"/>
                <w:sz w:val="17"/>
              </w:rPr>
              <w:t>Micro / mega segment</w:t>
            </w:r>
          </w:p>
        </w:tc>
        <w:tc>
          <w:tcPr>
            <w:tcW w:type="dxa" w:w="7087"/>
          </w:tcPr>
          <w:p>
            <w:r/>
            <w:r>
              <w:rPr>
                <w:b w:val="0"/>
                <w:i w:val="0"/>
                <w:sz w:val="17"/>
              </w:rPr>
              <w:t>Hierarchy levels; micro = cycle x colour within a crop type, mega = crop type (Blocky PGH = SP01)</w:t>
            </w:r>
          </w:p>
        </w:tc>
      </w:tr>
      <w:tr>
        <w:tc>
          <w:tcPr>
            <w:tcW w:type="dxa" w:w="2551"/>
          </w:tcPr>
          <w:p>
            <w:r/>
            <w:r>
              <w:rPr>
                <w:b w:val="0"/>
                <w:i w:val="0"/>
                <w:sz w:val="17"/>
              </w:rPr>
              <w:t>YTG</w:t>
            </w:r>
          </w:p>
        </w:tc>
        <w:tc>
          <w:tcPr>
            <w:tcW w:type="dxa" w:w="7087"/>
          </w:tcPr>
          <w:p>
            <w:r/>
            <w:r>
              <w:rPr>
                <w:b w:val="0"/>
                <w:i w:val="0"/>
                <w:sz w:val="17"/>
              </w:rPr>
              <w:t>Year to go: plan minus actuals to date</w:t>
            </w:r>
          </w:p>
        </w:tc>
      </w:tr>
      <w:tr>
        <w:tc>
          <w:tcPr>
            <w:tcW w:type="dxa" w:w="2551"/>
          </w:tcPr>
          <w:p>
            <w:r/>
            <w:r>
              <w:rPr>
                <w:b w:val="0"/>
                <w:i w:val="0"/>
                <w:sz w:val="17"/>
              </w:rPr>
              <w:t>FY</w:t>
            </w:r>
          </w:p>
        </w:tc>
        <w:tc>
          <w:tcPr>
            <w:tcW w:type="dxa" w:w="7087"/>
          </w:tcPr>
          <w:p>
            <w:r/>
            <w:r>
              <w:rPr>
                <w:b w:val="0"/>
                <w:i w:val="0"/>
                <w:sz w:val="17"/>
              </w:rPr>
              <w:t>Full-year estimate</w:t>
            </w:r>
          </w:p>
        </w:tc>
      </w:tr>
      <w:tr>
        <w:tc>
          <w:tcPr>
            <w:tcW w:type="dxa" w:w="2551"/>
          </w:tcPr>
          <w:p>
            <w:r/>
            <w:r>
              <w:rPr>
                <w:b w:val="0"/>
                <w:i w:val="0"/>
                <w:sz w:val="17"/>
              </w:rPr>
              <w:t>RTB</w:t>
            </w:r>
          </w:p>
        </w:tc>
        <w:tc>
          <w:tcPr>
            <w:tcW w:type="dxa" w:w="7087"/>
          </w:tcPr>
          <w:p>
            <w:r/>
            <w:r>
              <w:rPr>
                <w:b w:val="0"/>
                <w:i w:val="0"/>
                <w:sz w:val="17"/>
              </w:rPr>
              <w:t>Reasons to believe: the narrative defending a demand number</w:t>
            </w:r>
          </w:p>
        </w:tc>
      </w:tr>
      <w:tr>
        <w:tc>
          <w:tcPr>
            <w:tcW w:type="dxa" w:w="2551"/>
          </w:tcPr>
          <w:p>
            <w:r/>
            <w:r>
              <w:rPr>
                <w:b w:val="0"/>
                <w:i w:val="0"/>
                <w:sz w:val="17"/>
              </w:rPr>
              <w:t>FPI</w:t>
            </w:r>
          </w:p>
        </w:tc>
        <w:tc>
          <w:tcPr>
            <w:tcW w:type="dxa" w:w="7087"/>
          </w:tcPr>
          <w:p>
            <w:r/>
            <w:r>
              <w:rPr>
                <w:b w:val="0"/>
                <w:i w:val="0"/>
                <w:sz w:val="17"/>
              </w:rPr>
              <w:t>New-launch quantity in the Sales list</w:t>
            </w:r>
          </w:p>
        </w:tc>
      </w:tr>
      <w:tr>
        <w:tc>
          <w:tcPr>
            <w:tcW w:type="dxa" w:w="2551"/>
          </w:tcPr>
          <w:p>
            <w:r/>
            <w:r>
              <w:rPr>
                <w:b w:val="0"/>
                <w:i w:val="0"/>
                <w:sz w:val="17"/>
              </w:rPr>
              <w:t>Jev Choice / Score / Noul</w:t>
            </w:r>
          </w:p>
        </w:tc>
        <w:tc>
          <w:tcPr>
            <w:tcW w:type="dxa" w:w="7087"/>
          </w:tcPr>
          <w:p>
            <w:r/>
            <w:r>
              <w:rPr>
                <w:b w:val="0"/>
                <w:i w:val="0"/>
                <w:sz w:val="17"/>
              </w:rPr>
              <w:t>Pick one option / weighted score on an ordered rubric / probability that a statement is true</w:t>
            </w:r>
          </w:p>
        </w:tc>
      </w:tr>
      <w:tr>
        <w:tc>
          <w:tcPr>
            <w:tcW w:type="dxa" w:w="2551"/>
          </w:tcPr>
          <w:p>
            <w:r/>
            <w:r>
              <w:rPr>
                <w:b w:val="0"/>
                <w:i w:val="0"/>
                <w:sz w:val="17"/>
              </w:rPr>
              <w:t>Claim</w:t>
            </w:r>
          </w:p>
        </w:tc>
        <w:tc>
          <w:tcPr>
            <w:tcW w:type="dxa" w:w="7087"/>
          </w:tcPr>
          <w:p>
            <w:r/>
            <w:r>
              <w:rPr>
                <w:b w:val="0"/>
                <w:i w:val="0"/>
                <w:sz w:val="17"/>
              </w:rPr>
              <w:t>The structured, checkable form of a rep's justification</w:t>
            </w:r>
          </w:p>
        </w:tc>
      </w:tr>
      <w:tr>
        <w:tc>
          <w:tcPr>
            <w:tcW w:type="dxa" w:w="2551"/>
          </w:tcPr>
          <w:p>
            <w:r/>
            <w:r>
              <w:rPr>
                <w:b w:val="0"/>
                <w:i w:val="0"/>
                <w:sz w:val="17"/>
              </w:rPr>
              <w:t>Track record</w:t>
            </w:r>
          </w:p>
        </w:tc>
        <w:tc>
          <w:tcPr>
            <w:tcW w:type="dxa" w:w="7087"/>
          </w:tcPr>
          <w:p>
            <w:r/>
            <w:r>
              <w:rPr>
                <w:b w:val="0"/>
                <w:i w:val="0"/>
                <w:sz w:val="17"/>
              </w:rPr>
              <w:t>Per-rep hit rate, bias and range coverage from resolved claims</w:t>
            </w:r>
          </w:p>
        </w:tc>
      </w:tr>
    </w:tbl>
    <w:p>
      <w:pPr>
        <w:spacing w:after="40"/>
      </w:pP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Defensible Demand Ledger - Application and Data Design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C3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C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C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