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440"/>
        <w:jc w:val="center"/>
      </w:pPr>
      <w:r>
        <w:rPr>
          <w:rFonts w:ascii="Calibri" w:hAnsi="Calibri" w:eastAsia="Calibri"/>
          <w:b/>
          <w:i w:val="0"/>
          <w:color w:val="1B3A4B"/>
          <w:sz w:val="40"/>
        </w:rPr>
        <w:t>SREENIVASA KE</w:t>
      </w:r>
    </w:p>
    <w:p>
      <w:pPr>
        <w:spacing w:before="20" w:after="20" w:lineRule="exact" w:line="280"/>
        <w:jc w:val="center"/>
      </w:pPr>
      <w:r>
        <w:rPr>
          <w:rFonts w:ascii="Calibri" w:hAnsi="Calibri" w:eastAsia="Calibri"/>
          <w:b/>
          <w:i w:val="0"/>
          <w:color w:val="4A555C"/>
          <w:sz w:val="21"/>
        </w:rPr>
        <w:t>CISM  ·  CISA  ·  PMP  ·  MBA  ·  CSM  ·  CSQA  ·  ITIL</w:t>
      </w:r>
    </w:p>
    <w:p>
      <w:pPr>
        <w:spacing w:before="20" w:after="20" w:lineRule="exact" w:line="300"/>
        <w:jc w:val="center"/>
      </w:pPr>
      <w:r>
        <w:rPr>
          <w:rFonts w:ascii="Calibri" w:hAnsi="Calibri" w:eastAsia="Calibri"/>
          <w:b/>
          <w:i w:val="0"/>
          <w:color w:val="1B3A4B"/>
          <w:sz w:val="22"/>
        </w:rPr>
        <w:t>Cybersecurity Leader  |  Information Security Governance, Technical Controls &amp; Risk</w:t>
      </w:r>
    </w:p>
    <w:p>
      <w:pPr>
        <w:spacing w:before="20" w:after="40" w:lineRule="exact" w:line="260"/>
        <w:jc w:val="center"/>
        <w:pBdr>
          <w:bottom w:val="single" w:sz="14" w:space="1" w:color="1B3A4B"/>
        </w:pBdr>
      </w:pPr>
      <w:r>
        <w:rPr>
          <w:rFonts w:ascii="Calibri" w:hAnsi="Calibri" w:eastAsia="Calibri"/>
          <w:b w:val="0"/>
          <w:i w:val="0"/>
          <w:color w:val="4A555C"/>
          <w:sz w:val="19"/>
        </w:rPr>
        <w:t>Bangalore, India  ·  +91-9886135565  ·  sreenivaske@gmail.com  ·  English &amp; Mandarin  ·  Open to relocation / travel</w:t>
      </w:r>
    </w:p>
    <w:p>
      <w:pPr>
        <w:spacing w:before="200" w:after="80" w:lineRule="exact" w:line="320"/>
        <w:jc w:val="left"/>
        <w:pBdr>
          <w:bottom w:val="single" w:sz="10" w:space="1" w:color="1B3A4B"/>
        </w:pBdr>
      </w:pPr>
      <w:r>
        <w:rPr>
          <w:rFonts w:ascii="Calibri" w:hAnsi="Calibri" w:eastAsia="Calibri"/>
          <w:b/>
          <w:i w:val="0"/>
          <w:caps/>
          <w:color w:val="1B3A4B"/>
          <w:sz w:val="22"/>
        </w:rPr>
        <w:t>PROFESSIONAL PROFILE</w:t>
      </w:r>
    </w:p>
    <w:p>
      <w:pPr>
        <w:spacing w:before="0" w:after="80" w:lineRule="exact" w:line="280"/>
        <w:jc w:val="both"/>
      </w:pPr>
      <w:r>
        <w:rPr>
          <w:rFonts w:ascii="Calibri" w:hAnsi="Calibri" w:eastAsia="Calibri"/>
          <w:b w:val="0"/>
          <w:i w:val="0"/>
          <w:color w:val="222222"/>
          <w:sz w:val="21"/>
        </w:rPr>
        <w:t>Senior cybersecurity leader with 23+ years in technology, risk and compliance, including 11+ years dedicated to information security across mission-critical digital infrastructure, banking and financial services, and healthcare. Combines executive-ready governance with hands-on ownership of technical controls — secure architecture, secure SDLC / DevSecOps practices, ISMS, identity and access, encryption, network and application security, third-party risk, incident response, and BCP/DR.</w:t>
      </w:r>
    </w:p>
    <w:p>
      <w:pPr>
        <w:spacing w:before="0" w:after="40" w:lineRule="exact" w:line="280"/>
        <w:jc w:val="both"/>
      </w:pPr>
      <w:r>
        <w:rPr>
          <w:rFonts w:ascii="Calibri" w:hAnsi="Calibri" w:eastAsia="Calibri"/>
          <w:b w:val="0"/>
          <w:i w:val="0"/>
          <w:color w:val="222222"/>
          <w:sz w:val="21"/>
        </w:rPr>
        <w:t>Trusted partner to technology and engineering leadership: embeds security into platform design and delivery without creating friction, provides independent challenge on residual risk and go-live readiness, and translates regulatory and customer control requirements into implementable architecture and operating cadence. Experience building and maturing security capability during product and platform build phases — governance model, control design, audit evidence, and engineering enablement — in multi-party, globally distributed environments. Seeking CISO / Head of Information Security leadership in regulated payments, banking, fintech, or other critical digital infrastructure.</w:t>
      </w:r>
    </w:p>
    <w:p>
      <w:pPr>
        <w:spacing w:before="200" w:after="80" w:lineRule="exact" w:line="320"/>
        <w:jc w:val="left"/>
        <w:pBdr>
          <w:bottom w:val="single" w:sz="10" w:space="1" w:color="1B3A4B"/>
        </w:pBdr>
      </w:pPr>
      <w:r>
        <w:rPr>
          <w:rFonts w:ascii="Calibri" w:hAnsi="Calibri" w:eastAsia="Calibri"/>
          <w:b/>
          <w:i w:val="0"/>
          <w:caps/>
          <w:color w:val="1B3A4B"/>
          <w:sz w:val="22"/>
        </w:rPr>
        <w:t>CORE COMPETENCIES</w:t>
      </w:r>
    </w:p>
    <w:p>
      <w:pPr>
        <w:spacing w:before="20" w:after="20" w:lineRule="exact" w:line="280"/>
      </w:pPr>
      <w:r>
        <w:rPr>
          <w:rFonts w:ascii="Calibri" w:hAnsi="Calibri" w:eastAsia="Calibri"/>
          <w:b/>
          <w:i w:val="0"/>
          <w:color w:val="1B3A4B"/>
          <w:sz w:val="21"/>
        </w:rPr>
        <w:t xml:space="preserve">Leadership &amp; governance:  </w:t>
      </w:r>
      <w:r>
        <w:rPr>
          <w:rFonts w:ascii="Calibri" w:hAnsi="Calibri" w:eastAsia="Calibri"/>
          <w:b w:val="0"/>
          <w:i w:val="0"/>
          <w:color w:val="222222"/>
          <w:sz w:val="21"/>
        </w:rPr>
        <w:t>Executive / leadership advisory; independent cyber and technology-risk oversight; security operating model; board-style posture and investment reporting; multi-party stakeholder coordination.</w:t>
      </w:r>
    </w:p>
    <w:p>
      <w:pPr>
        <w:spacing w:before="20" w:after="20" w:lineRule="exact" w:line="280"/>
      </w:pPr>
      <w:r>
        <w:rPr>
          <w:rFonts w:ascii="Calibri" w:hAnsi="Calibri" w:eastAsia="Calibri"/>
          <w:b/>
          <w:i w:val="0"/>
          <w:color w:val="1B3A4B"/>
          <w:sz w:val="21"/>
        </w:rPr>
        <w:t xml:space="preserve">Technical controls:  </w:t>
      </w:r>
      <w:r>
        <w:rPr>
          <w:rFonts w:ascii="Calibri" w:hAnsi="Calibri" w:eastAsia="Calibri"/>
          <w:b w:val="0"/>
          <w:i w:val="0"/>
          <w:color w:val="222222"/>
          <w:sz w:val="21"/>
        </w:rPr>
        <w:t>Secure architecture; identity &amp; access / least privilege; encryption controls; network segmentation; application security (OWASP); cloud (Azure) controls; VAPT; third-party / OSS risk.</w:t>
      </w:r>
    </w:p>
    <w:p>
      <w:pPr>
        <w:spacing w:before="20" w:after="20" w:lineRule="exact" w:line="280"/>
      </w:pPr>
      <w:r>
        <w:rPr>
          <w:rFonts w:ascii="Calibri" w:hAnsi="Calibri" w:eastAsia="Calibri"/>
          <w:b/>
          <w:i w:val="0"/>
          <w:color w:val="1B3A4B"/>
          <w:sz w:val="21"/>
        </w:rPr>
        <w:t xml:space="preserve">Engineering partnership:  </w:t>
      </w:r>
      <w:r>
        <w:rPr>
          <w:rFonts w:ascii="Calibri" w:hAnsi="Calibri" w:eastAsia="Calibri"/>
          <w:b w:val="0"/>
          <w:i w:val="0"/>
          <w:color w:val="222222"/>
          <w:sz w:val="21"/>
        </w:rPr>
        <w:t>Secure SDLC / DevSecOps gates; secure coding; product cybersecurity reviews; embedding controls into platform engineering without blocking delivery.</w:t>
      </w:r>
    </w:p>
    <w:p>
      <w:pPr>
        <w:spacing w:before="20" w:after="20" w:lineRule="exact" w:line="280"/>
      </w:pPr>
      <w:r>
        <w:rPr>
          <w:rFonts w:ascii="Calibri" w:hAnsi="Calibri" w:eastAsia="Calibri"/>
          <w:b/>
          <w:i w:val="0"/>
          <w:color w:val="1B3A4B"/>
          <w:sz w:val="21"/>
        </w:rPr>
        <w:t xml:space="preserve">Operations &amp; resilience:  </w:t>
      </w:r>
      <w:r>
        <w:rPr>
          <w:rFonts w:ascii="Calibri" w:hAnsi="Calibri" w:eastAsia="Calibri"/>
          <w:b w:val="0"/>
          <w:i w:val="0"/>
          <w:color w:val="222222"/>
          <w:sz w:val="21"/>
        </w:rPr>
        <w:t>Incident response (8D / QRQC / RCA); ISMS management reviews; BCP and DR test support; security awareness; milestone cyber-readiness gates for 24/7 operational systems.</w:t>
      </w:r>
    </w:p>
    <w:p>
      <w:pPr>
        <w:spacing w:before="20" w:after="20" w:lineRule="exact" w:line="280"/>
      </w:pPr>
      <w:r>
        <w:rPr>
          <w:rFonts w:ascii="Calibri" w:hAnsi="Calibri" w:eastAsia="Calibri"/>
          <w:b/>
          <w:i w:val="0"/>
          <w:color w:val="1B3A4B"/>
          <w:sz w:val="21"/>
        </w:rPr>
        <w:t xml:space="preserve">Risk, audit &amp; regulation:  </w:t>
      </w:r>
      <w:r>
        <w:rPr>
          <w:rFonts w:ascii="Calibri" w:hAnsi="Calibri" w:eastAsia="Calibri"/>
          <w:b w:val="0"/>
          <w:i w:val="0"/>
          <w:color w:val="222222"/>
          <w:sz w:val="21"/>
        </w:rPr>
        <w:t>ISO 27001, NIST CSF / risk, IEC 62443 (SL2/SL3), HIPAA, SOX / GLBA / FFIEC-style gap work; Singapore CCOP2, HK COP, NCA ECC/OTCC awareness; internal and external audit leadership.</w:t>
      </w:r>
    </w:p>
    <w:p>
      <w:pPr>
        <w:spacing w:before="200" w:after="80" w:lineRule="exact" w:line="320"/>
        <w:jc w:val="left"/>
        <w:pBdr>
          <w:bottom w:val="single" w:sz="10" w:space="1" w:color="1B3A4B"/>
        </w:pBdr>
      </w:pPr>
      <w:r>
        <w:rPr>
          <w:rFonts w:ascii="Calibri" w:hAnsi="Calibri" w:eastAsia="Calibri"/>
          <w:b/>
          <w:i w:val="0"/>
          <w:caps/>
          <w:color w:val="1B3A4B"/>
          <w:sz w:val="22"/>
        </w:rPr>
        <w:t>SELECTED OUTCOMES</w:t>
      </w:r>
    </w:p>
    <w:p>
      <w:pPr>
        <w:pStyle w:val="ListBullet"/>
        <w:spacing w:before="20" w:after="40" w:lineRule="exact" w:line="280"/>
        <w:ind w:left="312" w:hanging="198"/>
      </w:pPr>
      <w:r>
        <w:rPr>
          <w:rFonts w:ascii="Calibri" w:hAnsi="Calibri" w:eastAsia="Calibri"/>
          <w:b w:val="0"/>
          <w:i w:val="0"/>
          <w:color w:val="222222"/>
          <w:sz w:val="21"/>
        </w:rPr>
        <w:t>Zero major cybersecurity incidents on covered urban / R&amp;D solutions; no cyber blockers at project milestone gates.</w:t>
      </w:r>
    </w:p>
    <w:p>
      <w:pPr>
        <w:pStyle w:val="ListBullet"/>
        <w:spacing w:before="20" w:after="40" w:lineRule="exact" w:line="280"/>
        <w:ind w:left="312" w:hanging="198"/>
      </w:pPr>
      <w:r>
        <w:rPr>
          <w:rFonts w:ascii="Calibri" w:hAnsi="Calibri" w:eastAsia="Calibri"/>
          <w:b w:val="0"/>
          <w:i w:val="0"/>
          <w:color w:val="222222"/>
          <w:sz w:val="21"/>
        </w:rPr>
        <w:t>Mapped mission-critical urban platforms to IEC 62443 SL2 / SL3 and closed security-control gaps for R&amp;D products.</w:t>
      </w:r>
    </w:p>
    <w:p>
      <w:pPr>
        <w:pStyle w:val="ListBullet"/>
        <w:spacing w:before="20" w:after="40" w:lineRule="exact" w:line="280"/>
        <w:ind w:left="312" w:hanging="198"/>
      </w:pPr>
      <w:r>
        <w:rPr>
          <w:rFonts w:ascii="Calibri" w:hAnsi="Calibri" w:eastAsia="Calibri"/>
          <w:b w:val="0"/>
          <w:i w:val="0"/>
          <w:color w:val="222222"/>
          <w:sz w:val="21"/>
        </w:rPr>
        <w:t>100% on-time cybersecurity inputs to customer proposals; bid estimates without material cost overrun into execution.</w:t>
      </w:r>
    </w:p>
    <w:p>
      <w:pPr>
        <w:pStyle w:val="ListBullet"/>
        <w:spacing w:before="20" w:after="40" w:lineRule="exact" w:line="280"/>
        <w:ind w:left="312" w:hanging="198"/>
      </w:pPr>
      <w:r>
        <w:rPr>
          <w:rFonts w:ascii="Calibri" w:hAnsi="Calibri" w:eastAsia="Calibri"/>
          <w:b w:val="0"/>
          <w:i w:val="0"/>
          <w:color w:val="222222"/>
          <w:sz w:val="21"/>
        </w:rPr>
        <w:t>Healthcare programs: zero HIPAA information-security incidents; 100% of infosec incidents closed within agreed time.</w:t>
      </w:r>
    </w:p>
    <w:p>
      <w:pPr>
        <w:pStyle w:val="ListBullet"/>
        <w:spacing w:before="20" w:after="40" w:lineRule="exact" w:line="280"/>
        <w:ind w:left="312" w:hanging="198"/>
      </w:pPr>
      <w:r>
        <w:rPr>
          <w:rFonts w:ascii="Calibri" w:hAnsi="Calibri" w:eastAsia="Calibri"/>
          <w:b w:val="0"/>
          <w:i w:val="0"/>
          <w:color w:val="222222"/>
          <w:sz w:val="21"/>
        </w:rPr>
        <w:t>Banking / FS delivery: coordinated internal and external audits with zero non-compliance findings on covered cycles.</w:t>
      </w:r>
    </w:p>
    <w:p>
      <w:pPr>
        <w:pStyle w:val="ListBullet"/>
        <w:spacing w:before="20" w:after="40" w:lineRule="exact" w:line="280"/>
        <w:ind w:left="312" w:hanging="198"/>
      </w:pPr>
      <w:r>
        <w:rPr>
          <w:rFonts w:ascii="Calibri" w:hAnsi="Calibri" w:eastAsia="Calibri"/>
          <w:b w:val="0"/>
          <w:i w:val="0"/>
          <w:color w:val="222222"/>
          <w:sz w:val="21"/>
        </w:rPr>
        <w:t>Led cybersecurity and infosec teams (6 direct; collaboration scaled to 14) across eight global locations; previously accountable for infosec operating discipline on a 900+ resource banking/FS footprint.</w:t>
      </w:r>
    </w:p>
    <w:p>
      <w:pPr>
        <w:spacing w:before="200" w:after="80" w:lineRule="exact" w:line="320"/>
        <w:jc w:val="left"/>
        <w:pBdr>
          <w:bottom w:val="single" w:sz="10" w:space="1" w:color="1B3A4B"/>
        </w:pBdr>
      </w:pPr>
      <w:r>
        <w:rPr>
          <w:rFonts w:ascii="Calibri" w:hAnsi="Calibri" w:eastAsia="Calibri"/>
          <w:b/>
          <w:i w:val="0"/>
          <w:caps/>
          <w:color w:val="1B3A4B"/>
          <w:sz w:val="22"/>
        </w:rPr>
        <w:t>PROFESSIONAL EXPERIENCE</w:t>
      </w:r>
    </w:p>
    <w:p>
      <w:pPr>
        <w:tabs>
          <w:tab w:pos="9638" w:val="right"/>
        </w:tabs>
        <w:spacing w:before="160" w:after="0" w:lineRule="exact" w:line="300"/>
      </w:pPr>
      <w:r>
        <w:rPr>
          <w:rFonts w:ascii="Calibri" w:hAnsi="Calibri" w:eastAsia="Calibri"/>
          <w:b/>
          <w:i w:val="0"/>
          <w:color w:val="1B3A4B"/>
          <w:sz w:val="22"/>
        </w:rPr>
        <w:t>ALSTOM  —  Cybersecurity Manager</w:t>
      </w:r>
      <w:r>
        <w:rPr>
          <w:rFonts w:ascii="Calibri" w:hAnsi="Calibri" w:eastAsia="Calibri"/>
          <w:b/>
          <w:i w:val="0"/>
          <w:color w:val="4A555C"/>
          <w:sz w:val="20"/>
        </w:rPr>
        <w:tab/>
        <w:t>Feb 2018 – Present</w:t>
      </w:r>
    </w:p>
    <w:p>
      <w:pPr>
        <w:spacing w:before="0" w:after="60" w:lineRule="exact" w:line="260"/>
      </w:pPr>
      <w:r>
        <w:rPr>
          <w:rFonts w:ascii="Calibri" w:hAnsi="Calibri" w:eastAsia="Calibri"/>
          <w:b w:val="0"/>
          <w:i/>
          <w:color w:val="4A555C"/>
          <w:sz w:val="20"/>
        </w:rPr>
        <w:t>Rail / urban solutions R&amp;D, Bangalore  ·  24/7 mission-critical operational-technology platforms  ·  Team leadership, product security, and bid-to-delivery cyber governance</w:t>
      </w:r>
    </w:p>
    <w:p>
      <w:pPr>
        <w:spacing w:before="0" w:after="60" w:lineRule="exact" w:line="280"/>
        <w:jc w:val="both"/>
      </w:pPr>
      <w:r>
        <w:rPr>
          <w:rFonts w:ascii="Calibri" w:hAnsi="Calibri" w:eastAsia="Calibri"/>
          <w:b w:val="0"/>
          <w:i/>
          <w:color w:val="222222"/>
          <w:sz w:val="20"/>
        </w:rPr>
        <w:t>Accountable for cybersecurity strategy, technical control design, and delivery assurance for urban / rail digital platforms. Interface between engineering, bid, and compliance — translating customer and regulatory security requirements into architecture, controls, residual-risk decisions, and evidence that leadership can stand behind.</w:t>
      </w:r>
    </w:p>
    <w:p>
      <w:pPr>
        <w:spacing w:before="120" w:after="40" w:lineRule="exact" w:line="280"/>
      </w:pPr>
      <w:r>
        <w:rPr>
          <w:rFonts w:ascii="Calibri" w:hAnsi="Calibri" w:eastAsia="Calibri"/>
          <w:b/>
          <w:i/>
          <w:color w:val="1B3A4B"/>
          <w:sz w:val="21"/>
        </w:rPr>
        <w:t>Leadership, governance &amp; stakeholder engagement</w:t>
      </w:r>
    </w:p>
    <w:p>
      <w:pPr>
        <w:pStyle w:val="ListBullet"/>
        <w:spacing w:before="20" w:after="40" w:lineRule="exact" w:line="280"/>
        <w:ind w:left="312" w:hanging="198"/>
      </w:pPr>
      <w:r>
        <w:rPr>
          <w:rFonts w:ascii="Calibri" w:hAnsi="Calibri" w:eastAsia="Calibri"/>
          <w:b/>
          <w:i w:val="0"/>
          <w:color w:val="1B3A4B"/>
          <w:sz w:val="21"/>
        </w:rPr>
        <w:t xml:space="preserve">Executive advisory.  </w:t>
      </w:r>
      <w:r>
        <w:rPr>
          <w:rFonts w:ascii="Calibri" w:hAnsi="Calibri" w:eastAsia="Calibri"/>
          <w:b w:val="0"/>
          <w:i w:val="0"/>
          <w:color w:val="222222"/>
          <w:sz w:val="21"/>
        </w:rPr>
        <w:t>Principal cybersecurity advisor to R&amp;D leadership: monthly reporting on threat-relevant posture, control gaps, residual risk, and investment / effort priorities; independent challenge on design and go-live readiness rather than a late compliance stamp.</w:t>
      </w:r>
    </w:p>
    <w:p>
      <w:pPr>
        <w:pStyle w:val="ListBullet"/>
        <w:spacing w:before="20" w:after="40" w:lineRule="exact" w:line="280"/>
        <w:ind w:left="312" w:hanging="198"/>
      </w:pPr>
      <w:r>
        <w:rPr>
          <w:rFonts w:ascii="Calibri" w:hAnsi="Calibri" w:eastAsia="Calibri"/>
          <w:b/>
          <w:i w:val="0"/>
          <w:color w:val="1B3A4B"/>
          <w:sz w:val="21"/>
        </w:rPr>
        <w:t xml:space="preserve">Security operating model.  </w:t>
      </w:r>
      <w:r>
        <w:rPr>
          <w:rFonts w:ascii="Calibri" w:hAnsi="Calibri" w:eastAsia="Calibri"/>
          <w:b w:val="0"/>
          <w:i w:val="0"/>
          <w:color w:val="222222"/>
          <w:sz w:val="21"/>
        </w:rPr>
        <w:t>Built and run the cybersecurity function for the center — hiring, budgeting, operating cadence, and capability development (6-member team; cross-functional collaboration scaled to 14) across eight global locations. Mentored engineers on secure design ownership.</w:t>
      </w:r>
    </w:p>
    <w:p>
      <w:pPr>
        <w:pStyle w:val="ListBullet"/>
        <w:spacing w:before="20" w:after="40" w:lineRule="exact" w:line="280"/>
        <w:ind w:left="312" w:hanging="198"/>
      </w:pPr>
      <w:r>
        <w:rPr>
          <w:rFonts w:ascii="Calibri" w:hAnsi="Calibri" w:eastAsia="Calibri"/>
          <w:b/>
          <w:i w:val="0"/>
          <w:color w:val="1B3A4B"/>
          <w:sz w:val="21"/>
        </w:rPr>
        <w:t xml:space="preserve">Engineering partnership.  </w:t>
      </w:r>
      <w:r>
        <w:rPr>
          <w:rFonts w:ascii="Calibri" w:hAnsi="Calibri" w:eastAsia="Calibri"/>
          <w:b w:val="0"/>
          <w:i w:val="0"/>
          <w:color w:val="222222"/>
          <w:sz w:val="21"/>
        </w:rPr>
        <w:t>Partnered with product engineering and architecture leadership to embed security into platform design, SDLC, and release gates without creating delivery friction. Acted as constructive challenger on technology risk, third-party components, and resilience assumptions.</w:t>
      </w:r>
    </w:p>
    <w:p>
      <w:pPr>
        <w:pStyle w:val="ListBullet"/>
        <w:spacing w:before="20" w:after="40" w:lineRule="exact" w:line="280"/>
        <w:ind w:left="312" w:hanging="198"/>
      </w:pPr>
      <w:r>
        <w:rPr>
          <w:rFonts w:ascii="Calibri" w:hAnsi="Calibri" w:eastAsia="Calibri"/>
          <w:b/>
          <w:i w:val="0"/>
          <w:color w:val="1B3A4B"/>
          <w:sz w:val="21"/>
        </w:rPr>
        <w:t xml:space="preserve">Multi-party governance.  </w:t>
      </w:r>
      <w:r>
        <w:rPr>
          <w:rFonts w:ascii="Calibri" w:hAnsi="Calibri" w:eastAsia="Calibri"/>
          <w:b w:val="0"/>
          <w:i w:val="0"/>
          <w:color w:val="222222"/>
          <w:sz w:val="21"/>
        </w:rPr>
        <w:t>Coordinated security requirements in complex multi-party bid and consortium environments; provided structured go / no-go on feasibility, control cost, and residual risk so commercial commitments matched what engineering could securely deliver.</w:t>
      </w:r>
    </w:p>
    <w:p>
      <w:pPr>
        <w:spacing w:before="120" w:after="40" w:lineRule="exact" w:line="280"/>
      </w:pPr>
      <w:r>
        <w:rPr>
          <w:rFonts w:ascii="Calibri" w:hAnsi="Calibri" w:eastAsia="Calibri"/>
          <w:b/>
          <w:i/>
          <w:color w:val="1B3A4B"/>
          <w:sz w:val="21"/>
        </w:rPr>
        <w:t>Technical controls, architecture &amp; secure engineering</w:t>
      </w:r>
    </w:p>
    <w:p>
      <w:pPr>
        <w:pStyle w:val="ListBullet"/>
        <w:spacing w:before="20" w:after="40" w:lineRule="exact" w:line="280"/>
        <w:ind w:left="312" w:hanging="198"/>
      </w:pPr>
      <w:r>
        <w:rPr>
          <w:rFonts w:ascii="Calibri" w:hAnsi="Calibri" w:eastAsia="Calibri"/>
          <w:b/>
          <w:i w:val="0"/>
          <w:color w:val="1B3A4B"/>
          <w:sz w:val="21"/>
        </w:rPr>
        <w:t xml:space="preserve">Control framework (IEC 62443).  </w:t>
      </w:r>
      <w:r>
        <w:rPr>
          <w:rFonts w:ascii="Calibri" w:hAnsi="Calibri" w:eastAsia="Calibri"/>
          <w:b w:val="0"/>
          <w:i w:val="0"/>
          <w:color w:val="222222"/>
          <w:sz w:val="21"/>
        </w:rPr>
        <w:t>Mapped urban / IACS platforms to IEC 62443 SL2 and SL3. Closed gaps across identification and authentication, use control, system integrity, data confidentiality, restricted data flow, event response, and resource availability — then tracked remediation into R&amp;D product baselines.</w:t>
      </w:r>
    </w:p>
    <w:p>
      <w:pPr>
        <w:pStyle w:val="ListBullet"/>
        <w:spacing w:before="20" w:after="40" w:lineRule="exact" w:line="280"/>
        <w:ind w:left="312" w:hanging="198"/>
      </w:pPr>
      <w:r>
        <w:rPr>
          <w:rFonts w:ascii="Calibri" w:hAnsi="Calibri" w:eastAsia="Calibri"/>
          <w:b/>
          <w:i w:val="0"/>
          <w:color w:val="1B3A4B"/>
          <w:sz w:val="21"/>
        </w:rPr>
        <w:t xml:space="preserve">Secure architecture &amp; SDLC.  </w:t>
      </w:r>
      <w:r>
        <w:rPr>
          <w:rFonts w:ascii="Calibri" w:hAnsi="Calibri" w:eastAsia="Calibri"/>
          <w:b w:val="0"/>
          <w:i w:val="0"/>
          <w:color w:val="222222"/>
          <w:sz w:val="21"/>
        </w:rPr>
        <w:t>Directed product cybersecurity reviews covering secure coding, cryptographic / encryption controls, network security and segmentation expectations, interface / API trust boundaries, and third-party / open-source software risk before design freeze and milestone gates.</w:t>
      </w:r>
    </w:p>
    <w:p>
      <w:pPr>
        <w:pStyle w:val="ListBullet"/>
        <w:spacing w:before="20" w:after="40" w:lineRule="exact" w:line="280"/>
        <w:ind w:left="312" w:hanging="198"/>
      </w:pPr>
      <w:r>
        <w:rPr>
          <w:rFonts w:ascii="Calibri" w:hAnsi="Calibri" w:eastAsia="Calibri"/>
          <w:b/>
          <w:i w:val="0"/>
          <w:color w:val="1B3A4B"/>
          <w:sz w:val="21"/>
        </w:rPr>
        <w:t xml:space="preserve">ISMS + safety-adjacent cyber.  </w:t>
      </w:r>
      <w:r>
        <w:rPr>
          <w:rFonts w:ascii="Calibri" w:hAnsi="Calibri" w:eastAsia="Calibri"/>
          <w:b w:val="0"/>
          <w:i w:val="0"/>
          <w:color w:val="222222"/>
          <w:sz w:val="21"/>
        </w:rPr>
        <w:t>Aligned lifecycle security controls to ISO 27001 and NIST risk methods, with CENELEC EN 50126 / 50128 / 50129 interface so cyber controls did not undermine safety integrity on operational systems.</w:t>
      </w:r>
    </w:p>
    <w:p>
      <w:pPr>
        <w:pStyle w:val="ListBullet"/>
        <w:spacing w:before="20" w:after="40" w:lineRule="exact" w:line="280"/>
        <w:ind w:left="312" w:hanging="198"/>
      </w:pPr>
      <w:r>
        <w:rPr>
          <w:rFonts w:ascii="Calibri" w:hAnsi="Calibri" w:eastAsia="Calibri"/>
          <w:b/>
          <w:i w:val="0"/>
          <w:color w:val="1B3A4B"/>
          <w:sz w:val="21"/>
        </w:rPr>
        <w:t xml:space="preserve">Incident response &amp; resilience.  </w:t>
      </w:r>
      <w:r>
        <w:rPr>
          <w:rFonts w:ascii="Calibri" w:hAnsi="Calibri" w:eastAsia="Calibri"/>
          <w:b w:val="0"/>
          <w:i w:val="0"/>
          <w:color w:val="222222"/>
          <w:sz w:val="21"/>
        </w:rPr>
        <w:t>Ran cyber, quality, and safety incident handling using 8D and QRQC (containment, RCA, corrective and preventive action). Maintained zero major cybersecurity incidents on covered solutions and kept projects free of cyber blockers at milestone gates.</w:t>
      </w:r>
    </w:p>
    <w:p>
      <w:pPr>
        <w:pStyle w:val="ListBullet"/>
        <w:spacing w:before="20" w:after="40" w:lineRule="exact" w:line="280"/>
        <w:ind w:left="312" w:hanging="198"/>
      </w:pPr>
      <w:r>
        <w:rPr>
          <w:rFonts w:ascii="Calibri" w:hAnsi="Calibri" w:eastAsia="Calibri"/>
          <w:b/>
          <w:i w:val="0"/>
          <w:color w:val="1B3A4B"/>
          <w:sz w:val="21"/>
        </w:rPr>
        <w:t xml:space="preserve">Enablement.  </w:t>
      </w:r>
      <w:r>
        <w:rPr>
          <w:rFonts w:ascii="Calibri" w:hAnsi="Calibri" w:eastAsia="Calibri"/>
          <w:b w:val="0"/>
          <w:i w:val="0"/>
          <w:color w:val="222222"/>
          <w:sz w:val="21"/>
        </w:rPr>
        <w:t>Trained engineering teams on secure process and control intent; improved gates and checklists from live project feedback so controls stayed usable under delivery pressure.</w:t>
      </w:r>
    </w:p>
    <w:p>
      <w:pPr>
        <w:tabs>
          <w:tab w:pos="9638" w:val="right"/>
        </w:tabs>
        <w:spacing w:before="160" w:after="0" w:lineRule="exact" w:line="300"/>
      </w:pPr>
      <w:r>
        <w:rPr>
          <w:rFonts w:ascii="Calibri" w:hAnsi="Calibri" w:eastAsia="Calibri"/>
          <w:b/>
          <w:i w:val="0"/>
          <w:color w:val="1B3A4B"/>
          <w:sz w:val="22"/>
        </w:rPr>
        <w:t>OPTEAMIX  —  Program Manager (Process) / HIPAA &amp; Information Security</w:t>
      </w:r>
      <w:r>
        <w:rPr>
          <w:rFonts w:ascii="Calibri" w:hAnsi="Calibri" w:eastAsia="Calibri"/>
          <w:b/>
          <w:i w:val="0"/>
          <w:color w:val="4A555C"/>
          <w:sz w:val="20"/>
        </w:rPr>
        <w:tab/>
        <w:t>Oct 2015 – Feb 2018</w:t>
      </w:r>
    </w:p>
    <w:p>
      <w:pPr>
        <w:spacing w:before="0" w:after="60" w:lineRule="exact" w:line="260"/>
      </w:pPr>
      <w:r>
        <w:rPr>
          <w:rFonts w:ascii="Calibri" w:hAnsi="Calibri" w:eastAsia="Calibri"/>
          <w:b w:val="0"/>
          <w:i/>
          <w:color w:val="4A555C"/>
          <w:sz w:val="20"/>
        </w:rPr>
        <w:t>Healthcare (PHI) and banking / payment-services programs  ·  CISO-office advisory, ISMS, application security  ·  Top Performer 2017</w:t>
      </w:r>
    </w:p>
    <w:p>
      <w:pPr>
        <w:spacing w:before="0" w:after="60" w:lineRule="exact" w:line="280"/>
        <w:jc w:val="both"/>
      </w:pPr>
      <w:r>
        <w:rPr>
          <w:rFonts w:ascii="Calibri" w:hAnsi="Calibri" w:eastAsia="Calibri"/>
          <w:b w:val="0"/>
          <w:i/>
          <w:color w:val="222222"/>
          <w:sz w:val="20"/>
        </w:rPr>
        <w:t>CISO-side consulting and program leadership for healthcare and financial-services clients: policy, risk assessment, technical control implementation support, incident management, and audit readiness — including payment-services and banking application estates hosted on Azure.</w:t>
      </w:r>
    </w:p>
    <w:p>
      <w:pPr>
        <w:spacing w:before="120" w:after="40" w:lineRule="exact" w:line="280"/>
      </w:pPr>
      <w:r>
        <w:rPr>
          <w:rFonts w:ascii="Calibri" w:hAnsi="Calibri" w:eastAsia="Calibri"/>
          <w:b/>
          <w:i/>
          <w:color w:val="1B3A4B"/>
          <w:sz w:val="21"/>
        </w:rPr>
        <w:t>Leadership, governance &amp; program ownership</w:t>
      </w:r>
    </w:p>
    <w:p>
      <w:pPr>
        <w:pStyle w:val="ListBullet"/>
        <w:spacing w:before="20" w:after="40" w:lineRule="exact" w:line="280"/>
        <w:ind w:left="312" w:hanging="198"/>
      </w:pPr>
      <w:r>
        <w:rPr>
          <w:rFonts w:ascii="Calibri" w:hAnsi="Calibri" w:eastAsia="Calibri"/>
          <w:b/>
          <w:i w:val="0"/>
          <w:color w:val="1B3A4B"/>
          <w:sz w:val="21"/>
        </w:rPr>
        <w:t xml:space="preserve">CISO-office support.  </w:t>
      </w:r>
      <w:r>
        <w:rPr>
          <w:rFonts w:ascii="Calibri" w:hAnsi="Calibri" w:eastAsia="Calibri"/>
          <w:b w:val="0"/>
          <w:i w:val="0"/>
          <w:color w:val="222222"/>
          <w:sz w:val="21"/>
        </w:rPr>
        <w:t>Operated as CISO-office partner: authored and maintained information-security policy, defined program KPIs, ran incident management, and delivered leadership-ready risk and compliance reporting across 15+ client engagements.</w:t>
      </w:r>
    </w:p>
    <w:p>
      <w:pPr>
        <w:pStyle w:val="ListBullet"/>
        <w:spacing w:before="20" w:after="40" w:lineRule="exact" w:line="280"/>
        <w:ind w:left="312" w:hanging="198"/>
      </w:pPr>
      <w:r>
        <w:rPr>
          <w:rFonts w:ascii="Calibri" w:hAnsi="Calibri" w:eastAsia="Calibri"/>
          <w:b/>
          <w:i w:val="0"/>
          <w:color w:val="1B3A4B"/>
          <w:sz w:val="21"/>
        </w:rPr>
        <w:t xml:space="preserve">ISMS &amp; audit leadership.  </w:t>
      </w:r>
      <w:r>
        <w:rPr>
          <w:rFonts w:ascii="Calibri" w:hAnsi="Calibri" w:eastAsia="Calibri"/>
          <w:b w:val="0"/>
          <w:i w:val="0"/>
          <w:color w:val="222222"/>
          <w:sz w:val="21"/>
        </w:rPr>
        <w:t>Owned ISMS operating rhythm — control owners, management reviews, evidence packs — and worked with external audit vendors on ISO 27001 and HIPAA readiness through remediation close-out.</w:t>
      </w:r>
    </w:p>
    <w:p>
      <w:pPr>
        <w:pStyle w:val="ListBullet"/>
        <w:spacing w:before="20" w:after="40" w:lineRule="exact" w:line="280"/>
        <w:ind w:left="312" w:hanging="198"/>
      </w:pPr>
      <w:r>
        <w:rPr>
          <w:rFonts w:ascii="Calibri" w:hAnsi="Calibri" w:eastAsia="Calibri"/>
          <w:b/>
          <w:i w:val="0"/>
          <w:color w:val="1B3A4B"/>
          <w:sz w:val="21"/>
        </w:rPr>
        <w:t xml:space="preserve">Accountability.  </w:t>
      </w:r>
      <w:r>
        <w:rPr>
          <w:rFonts w:ascii="Calibri" w:hAnsi="Calibri" w:eastAsia="Calibri"/>
          <w:b w:val="0"/>
          <w:i w:val="0"/>
          <w:color w:val="222222"/>
          <w:sz w:val="21"/>
        </w:rPr>
        <w:t>Set security goals and training cadence for delivery teams handling PHI / PII and financial data; held programs to zero HIPAA information-security incidents and to SLA on infosec incident closure.</w:t>
      </w:r>
    </w:p>
    <w:p>
      <w:pPr>
        <w:spacing w:before="120" w:after="40" w:lineRule="exact" w:line="280"/>
      </w:pPr>
      <w:r>
        <w:rPr>
          <w:rFonts w:ascii="Calibri" w:hAnsi="Calibri" w:eastAsia="Calibri"/>
          <w:b/>
          <w:i/>
          <w:color w:val="1B3A4B"/>
          <w:sz w:val="21"/>
        </w:rPr>
        <w:t>Technical controls &amp; security engineering</w:t>
      </w:r>
    </w:p>
    <w:p>
      <w:pPr>
        <w:pStyle w:val="ListBullet"/>
        <w:spacing w:before="20" w:after="40" w:lineRule="exact" w:line="280"/>
        <w:ind w:left="312" w:hanging="198"/>
      </w:pPr>
      <w:r>
        <w:rPr>
          <w:rFonts w:ascii="Calibri" w:hAnsi="Calibri" w:eastAsia="Calibri"/>
          <w:b/>
          <w:i w:val="0"/>
          <w:color w:val="1B3A4B"/>
          <w:sz w:val="21"/>
        </w:rPr>
        <w:t xml:space="preserve">Application, identity &amp; cloud.  </w:t>
      </w:r>
      <w:r>
        <w:rPr>
          <w:rFonts w:ascii="Calibri" w:hAnsi="Calibri" w:eastAsia="Calibri"/>
          <w:b w:val="0"/>
          <w:i w:val="0"/>
          <w:color w:val="222222"/>
          <w:sz w:val="21"/>
        </w:rPr>
        <w:t>Led risk assessments and VAPT support; aligned application programs to OWASP secure-coding practices, SSO, encryption in transit and at rest, and Azure hosting / identity controls.</w:t>
      </w:r>
    </w:p>
    <w:p>
      <w:pPr>
        <w:pStyle w:val="ListBullet"/>
        <w:spacing w:before="20" w:after="40" w:lineRule="exact" w:line="280"/>
        <w:ind w:left="312" w:hanging="198"/>
      </w:pPr>
      <w:r>
        <w:rPr>
          <w:rFonts w:ascii="Calibri" w:hAnsi="Calibri" w:eastAsia="Calibri"/>
          <w:b/>
          <w:i w:val="0"/>
          <w:color w:val="1B3A4B"/>
          <w:sz w:val="21"/>
        </w:rPr>
        <w:t xml:space="preserve">Risk, BCP &amp; threat classification.  </w:t>
      </w:r>
      <w:r>
        <w:rPr>
          <w:rFonts w:ascii="Calibri" w:hAnsi="Calibri" w:eastAsia="Calibri"/>
          <w:b w:val="0"/>
          <w:i w:val="0"/>
          <w:color w:val="222222"/>
          <w:sz w:val="21"/>
        </w:rPr>
        <w:t>Built and maintained ISMS policies, BCP elements, and vulnerability / threat classification so residual risk, patch priority, and exception handling were explicit and repeatable.</w:t>
      </w:r>
    </w:p>
    <w:p>
      <w:pPr>
        <w:pStyle w:val="ListBullet"/>
        <w:spacing w:before="20" w:after="40" w:lineRule="exact" w:line="280"/>
        <w:ind w:left="312" w:hanging="198"/>
      </w:pPr>
      <w:r>
        <w:rPr>
          <w:rFonts w:ascii="Calibri" w:hAnsi="Calibri" w:eastAsia="Calibri"/>
          <w:b/>
          <w:i w:val="0"/>
          <w:color w:val="1B3A4B"/>
          <w:sz w:val="21"/>
        </w:rPr>
        <w:t xml:space="preserve">Secure SDLC.  </w:t>
      </w:r>
      <w:r>
        <w:rPr>
          <w:rFonts w:ascii="Calibri" w:hAnsi="Calibri" w:eastAsia="Calibri"/>
          <w:b w:val="0"/>
          <w:i w:val="0"/>
          <w:color w:val="222222"/>
          <w:sz w:val="21"/>
        </w:rPr>
        <w:t>Embedded secure development practices into application programs (requirements, code, hosting) for healthcare and financial / payment-services workloads — precursor DevSecOps discipline across mixed on-prem and cloud estates.</w:t>
      </w:r>
    </w:p>
    <w:p>
      <w:pPr>
        <w:tabs>
          <w:tab w:pos="9638" w:val="right"/>
        </w:tabs>
        <w:spacing w:before="160" w:after="0" w:lineRule="exact" w:line="300"/>
      </w:pPr>
      <w:r>
        <w:rPr>
          <w:rFonts w:ascii="Calibri" w:hAnsi="Calibri" w:eastAsia="Calibri"/>
          <w:b/>
          <w:i w:val="0"/>
          <w:color w:val="1B3A4B"/>
          <w:sz w:val="22"/>
        </w:rPr>
        <w:t>HCL TECHNOLOGIES  —  Manager, Process &amp; Information Security</w:t>
      </w:r>
      <w:r>
        <w:rPr>
          <w:rFonts w:ascii="Calibri" w:hAnsi="Calibri" w:eastAsia="Calibri"/>
          <w:b/>
          <w:i w:val="0"/>
          <w:color w:val="4A555C"/>
          <w:sz w:val="20"/>
        </w:rPr>
        <w:tab/>
        <w:t>Nov 2005 – Oct 2015</w:t>
      </w:r>
    </w:p>
    <w:p>
      <w:pPr>
        <w:spacing w:before="0" w:after="60" w:lineRule="exact" w:line="260"/>
      </w:pPr>
      <w:r>
        <w:rPr>
          <w:rFonts w:ascii="Calibri" w:hAnsi="Calibri" w:eastAsia="Calibri"/>
          <w:b w:val="0"/>
          <w:i/>
          <w:color w:val="4A555C"/>
          <w:sz w:val="20"/>
        </w:rPr>
        <w:t>Banking and financial-services delivery  ·  900+ resource footprint (development, production support, testing)  ·  Top Talent Transformer — 3 consecutive years</w:t>
      </w:r>
    </w:p>
    <w:p>
      <w:pPr>
        <w:spacing w:before="0" w:after="60" w:lineRule="exact" w:line="280"/>
        <w:jc w:val="both"/>
      </w:pPr>
      <w:r>
        <w:rPr>
          <w:rFonts w:ascii="Calibri" w:hAnsi="Calibri" w:eastAsia="Calibri"/>
          <w:b w:val="0"/>
          <w:i/>
          <w:color w:val="222222"/>
          <w:sz w:val="20"/>
        </w:rPr>
        <w:t>Led process and information security for large regulated banking / FS accounts. Combined control operation (access, awareness, backup, physical and network hygiene) with ISMS governance, vendor risk, BCP/DR test support, and audit interface for global financial institutions.</w:t>
      </w:r>
    </w:p>
    <w:p>
      <w:pPr>
        <w:spacing w:before="120" w:after="40" w:lineRule="exact" w:line="280"/>
      </w:pPr>
      <w:r>
        <w:rPr>
          <w:rFonts w:ascii="Calibri" w:hAnsi="Calibri" w:eastAsia="Calibri"/>
          <w:b/>
          <w:i/>
          <w:color w:val="1B3A4B"/>
          <w:sz w:val="21"/>
        </w:rPr>
        <w:t>Leadership, governance &amp; regulatory engagement</w:t>
      </w:r>
    </w:p>
    <w:p>
      <w:pPr>
        <w:pStyle w:val="ListBullet"/>
        <w:spacing w:before="20" w:after="40" w:lineRule="exact" w:line="280"/>
        <w:ind w:left="312" w:hanging="198"/>
      </w:pPr>
      <w:r>
        <w:rPr>
          <w:rFonts w:ascii="Calibri" w:hAnsi="Calibri" w:eastAsia="Calibri"/>
          <w:b/>
          <w:i w:val="0"/>
          <w:color w:val="1B3A4B"/>
          <w:sz w:val="21"/>
        </w:rPr>
        <w:t xml:space="preserve">Function leadership.  </w:t>
      </w:r>
      <w:r>
        <w:rPr>
          <w:rFonts w:ascii="Calibri" w:hAnsi="Calibri" w:eastAsia="Calibri"/>
          <w:b w:val="0"/>
          <w:i w:val="0"/>
          <w:color w:val="222222"/>
          <w:sz w:val="21"/>
        </w:rPr>
        <w:t>Led the process and infosec team for a 900+ person banking / FS delivery estate; accountable for control effectiveness, audit outcomes, CSAT, time-to-market, and operating discipline across development, production support, and testing.</w:t>
      </w:r>
    </w:p>
    <w:p>
      <w:pPr>
        <w:pStyle w:val="ListBullet"/>
        <w:spacing w:before="20" w:after="40" w:lineRule="exact" w:line="280"/>
        <w:ind w:left="312" w:hanging="198"/>
      </w:pPr>
      <w:r>
        <w:rPr>
          <w:rFonts w:ascii="Calibri" w:hAnsi="Calibri" w:eastAsia="Calibri"/>
          <w:b/>
          <w:i w:val="0"/>
          <w:color w:val="1B3A4B"/>
          <w:sz w:val="21"/>
        </w:rPr>
        <w:t xml:space="preserve">Audit &amp; examiner interface.  </w:t>
      </w:r>
      <w:r>
        <w:rPr>
          <w:rFonts w:ascii="Calibri" w:hAnsi="Calibri" w:eastAsia="Calibri"/>
          <w:b w:val="0"/>
          <w:i w:val="0"/>
          <w:color w:val="222222"/>
          <w:sz w:val="21"/>
        </w:rPr>
        <w:t>Primary interface with internal and external auditors on major global bank programs; coordinated evidence, walkthroughs, and remediation. Zero non-compliance findings on coordinated audit cycles.</w:t>
      </w:r>
    </w:p>
    <w:p>
      <w:pPr>
        <w:pStyle w:val="ListBullet"/>
        <w:spacing w:before="20" w:after="40" w:lineRule="exact" w:line="280"/>
        <w:ind w:left="312" w:hanging="198"/>
      </w:pPr>
      <w:r>
        <w:rPr>
          <w:rFonts w:ascii="Calibri" w:hAnsi="Calibri" w:eastAsia="Calibri"/>
          <w:b/>
          <w:i w:val="0"/>
          <w:color w:val="1B3A4B"/>
          <w:sz w:val="21"/>
        </w:rPr>
        <w:t xml:space="preserve">ISMS &amp; FS regulatory mapping.  </w:t>
      </w:r>
      <w:r>
        <w:rPr>
          <w:rFonts w:ascii="Calibri" w:hAnsi="Calibri" w:eastAsia="Calibri"/>
          <w:b w:val="0"/>
          <w:i w:val="0"/>
          <w:color w:val="222222"/>
          <w:sz w:val="21"/>
        </w:rPr>
        <w:t>Ran ISMS management reviews; sponsored ISO/IEC 27001 implementation and recertification for banking accounts. Translated SOX, GLBA, and FFIEC-style expectations into gap analysis, control owners, and closure plans.</w:t>
      </w:r>
    </w:p>
    <w:p>
      <w:pPr>
        <w:pStyle w:val="ListBullet"/>
        <w:spacing w:before="20" w:after="40" w:lineRule="exact" w:line="280"/>
        <w:ind w:left="312" w:hanging="198"/>
      </w:pPr>
      <w:r>
        <w:rPr>
          <w:rFonts w:ascii="Calibri" w:hAnsi="Calibri" w:eastAsia="Calibri"/>
          <w:b/>
          <w:i w:val="0"/>
          <w:color w:val="1B3A4B"/>
          <w:sz w:val="21"/>
        </w:rPr>
        <w:t xml:space="preserve">Culture &amp; enablement.  </w:t>
      </w:r>
      <w:r>
        <w:rPr>
          <w:rFonts w:ascii="Calibri" w:hAnsi="Calibri" w:eastAsia="Calibri"/>
          <w:b w:val="0"/>
          <w:i w:val="0"/>
          <w:color w:val="222222"/>
          <w:sz w:val="21"/>
        </w:rPr>
        <w:t>Delivered security awareness tailored to financial-sector obligations; drove tool adoption and process change so controls were lived in development, production support, and testing.</w:t>
      </w:r>
    </w:p>
    <w:p>
      <w:pPr>
        <w:spacing w:before="120" w:after="40" w:lineRule="exact" w:line="280"/>
      </w:pPr>
      <w:r>
        <w:rPr>
          <w:rFonts w:ascii="Calibri" w:hAnsi="Calibri" w:eastAsia="Calibri"/>
          <w:b/>
          <w:i/>
          <w:color w:val="1B3A4B"/>
          <w:sz w:val="21"/>
        </w:rPr>
        <w:t>Technical controls, operations &amp; resilience</w:t>
      </w:r>
    </w:p>
    <w:p>
      <w:pPr>
        <w:pStyle w:val="ListBullet"/>
        <w:spacing w:before="20" w:after="40" w:lineRule="exact" w:line="280"/>
        <w:ind w:left="312" w:hanging="198"/>
      </w:pPr>
      <w:r>
        <w:rPr>
          <w:rFonts w:ascii="Calibri" w:hAnsi="Calibri" w:eastAsia="Calibri"/>
          <w:b/>
          <w:i w:val="0"/>
          <w:color w:val="1B3A4B"/>
          <w:sz w:val="21"/>
        </w:rPr>
        <w:t xml:space="preserve">Identity &amp; access.  </w:t>
      </w:r>
      <w:r>
        <w:rPr>
          <w:rFonts w:ascii="Calibri" w:hAnsi="Calibri" w:eastAsia="Calibri"/>
          <w:b w:val="0"/>
          <w:i w:val="0"/>
          <w:color w:val="222222"/>
          <w:sz w:val="21"/>
        </w:rPr>
        <w:t>Operated identity and access controls: periodic access reviews, least-privilege enforcement, and joiner–mover–leaver hygiene across large delivery footprints.</w:t>
      </w:r>
    </w:p>
    <w:p>
      <w:pPr>
        <w:pStyle w:val="ListBullet"/>
        <w:spacing w:before="20" w:after="40" w:lineRule="exact" w:line="280"/>
        <w:ind w:left="312" w:hanging="198"/>
      </w:pPr>
      <w:r>
        <w:rPr>
          <w:rFonts w:ascii="Calibri" w:hAnsi="Calibri" w:eastAsia="Calibri"/>
          <w:b/>
          <w:i w:val="0"/>
          <w:color w:val="1B3A4B"/>
          <w:sz w:val="21"/>
        </w:rPr>
        <w:t xml:space="preserve">Preventive &amp; detective controls.  </w:t>
      </w:r>
      <w:r>
        <w:rPr>
          <w:rFonts w:ascii="Calibri" w:hAnsi="Calibri" w:eastAsia="Calibri"/>
          <w:b w:val="0"/>
          <w:i w:val="0"/>
          <w:color w:val="222222"/>
          <w:sz w:val="21"/>
        </w:rPr>
        <w:t>Ran phishing simulations, backup restoration validation, wireless security audits, clean-desk and anti-piggybacking checks — detective and preventive controls with documented exceptions and follow-up.</w:t>
      </w:r>
    </w:p>
    <w:p>
      <w:pPr>
        <w:pStyle w:val="ListBullet"/>
        <w:spacing w:before="20" w:after="40" w:lineRule="exact" w:line="280"/>
        <w:ind w:left="312" w:hanging="198"/>
      </w:pPr>
      <w:r>
        <w:rPr>
          <w:rFonts w:ascii="Calibri" w:hAnsi="Calibri" w:eastAsia="Calibri"/>
          <w:b/>
          <w:i w:val="0"/>
          <w:color w:val="1B3A4B"/>
          <w:sz w:val="21"/>
        </w:rPr>
        <w:t xml:space="preserve">Third-party risk &amp; BCP/DR.  </w:t>
      </w:r>
      <w:r>
        <w:rPr>
          <w:rFonts w:ascii="Calibri" w:hAnsi="Calibri" w:eastAsia="Calibri"/>
          <w:b w:val="0"/>
          <w:i w:val="0"/>
          <w:color w:val="222222"/>
          <w:sz w:val="21"/>
        </w:rPr>
        <w:t>Performed third-party / vendor risk reviews for suppliers touching regulated environments; supported BCP and disaster-recovery tests so recovery assumptions were evidenced, not assumed.</w:t>
      </w:r>
    </w:p>
    <w:p>
      <w:pPr>
        <w:pStyle w:val="ListBullet"/>
        <w:spacing w:before="20" w:after="40" w:lineRule="exact" w:line="280"/>
        <w:ind w:left="312" w:hanging="198"/>
      </w:pPr>
      <w:r>
        <w:rPr>
          <w:rFonts w:ascii="Calibri" w:hAnsi="Calibri" w:eastAsia="Calibri"/>
          <w:b/>
          <w:i w:val="0"/>
          <w:color w:val="1B3A4B"/>
          <w:sz w:val="21"/>
        </w:rPr>
        <w:t xml:space="preserve">Control baselines.  </w:t>
      </w:r>
      <w:r>
        <w:rPr>
          <w:rFonts w:ascii="Calibri" w:hAnsi="Calibri" w:eastAsia="Calibri"/>
          <w:b w:val="0"/>
          <w:i w:val="0"/>
          <w:color w:val="222222"/>
          <w:sz w:val="21"/>
        </w:rPr>
        <w:t>Established NIST- and CIS-oriented policy and control baselines for the period, giving engineering and operations a practical control catalogue rather than generic policy text.</w:t>
      </w:r>
    </w:p>
    <w:p>
      <w:pPr>
        <w:spacing w:before="200" w:after="80" w:lineRule="exact" w:line="320"/>
        <w:jc w:val="left"/>
        <w:pBdr>
          <w:bottom w:val="single" w:sz="10" w:space="1" w:color="1B3A4B"/>
        </w:pBdr>
      </w:pPr>
      <w:r>
        <w:rPr>
          <w:rFonts w:ascii="Calibri" w:hAnsi="Calibri" w:eastAsia="Calibri"/>
          <w:b/>
          <w:i w:val="0"/>
          <w:caps/>
          <w:color w:val="1B3A4B"/>
          <w:sz w:val="22"/>
        </w:rPr>
        <w:t>EARLIER CAREER — PRODUCT R&amp;D, CHINA (QUALITY + SECURE SDLC FOUNDATIONS)</w:t>
      </w:r>
    </w:p>
    <w:p>
      <w:pPr>
        <w:spacing w:before="0" w:after="60" w:lineRule="exact" w:line="280"/>
        <w:jc w:val="both"/>
      </w:pPr>
      <w:r>
        <w:rPr>
          <w:rFonts w:ascii="Calibri" w:hAnsi="Calibri" w:eastAsia="Calibri"/>
          <w:b w:val="0"/>
          <w:i/>
          <w:color w:val="222222"/>
          <w:sz w:val="20"/>
        </w:rPr>
        <w:t>4.5 years in China (Mandarin working level). Built secure-development and quality gates in embedded product R&amp;D — relevant to embedding security into engineering culture during platform build.</w:t>
      </w:r>
    </w:p>
    <w:p>
      <w:pPr>
        <w:spacing w:before="20" w:after="20" w:lineRule="exact" w:line="280"/>
      </w:pPr>
      <w:r>
        <w:rPr>
          <w:rFonts w:ascii="Calibri" w:hAnsi="Calibri" w:eastAsia="Calibri"/>
          <w:b/>
          <w:i w:val="0"/>
          <w:color w:val="1B3A4B"/>
          <w:sz w:val="20"/>
        </w:rPr>
        <w:t xml:space="preserve">Konka — Lead, Quality &amp; Infosec Assurance (China) | Dec 2003 – Nov 2005.  </w:t>
      </w:r>
      <w:r>
        <w:rPr>
          <w:rFonts w:ascii="Calibri" w:hAnsi="Calibri" w:eastAsia="Calibri"/>
          <w:b w:val="0"/>
          <w:i w:val="0"/>
          <w:color w:val="222222"/>
          <w:sz w:val="20"/>
        </w:rPr>
        <w:t>Designed a Secure Development Lifecycle (gap analysis, security/quality gates, roles, metrics) across 30–45 embedded projects a year; reworked requirements, code review, and SCM to put security checks early; governed high-risk HW/SW programs; took IT R&amp;D through CMMI L3. Results: 0 residual defects/KLOC after system test; ~95% review efficiency; ~95% schedule adherence with security in the path.</w:t>
      </w:r>
    </w:p>
    <w:p>
      <w:pPr>
        <w:spacing w:before="20" w:after="20" w:lineRule="exact" w:line="280"/>
      </w:pPr>
      <w:r>
        <w:rPr>
          <w:rFonts w:ascii="Calibri" w:hAnsi="Calibri" w:eastAsia="Calibri"/>
          <w:b/>
          <w:i w:val="0"/>
          <w:color w:val="1B3A4B"/>
          <w:sz w:val="20"/>
        </w:rPr>
        <w:t xml:space="preserve">Zhengeda Software — Process Coordinator (China) | Dec 2001 – Dec 2003.  </w:t>
      </w:r>
      <w:r>
        <w:rPr>
          <w:rFonts w:ascii="Calibri" w:hAnsi="Calibri" w:eastAsia="Calibri"/>
          <w:b w:val="0"/>
          <w:i w:val="0"/>
          <w:color w:val="222222"/>
          <w:sz w:val="20"/>
        </w:rPr>
        <w:t>Quality planning with software teams; project-managed CMMI L3 implementation covering 12 R&amp;D projects / ~85 resources.</w:t>
      </w:r>
    </w:p>
    <w:p>
      <w:pPr>
        <w:spacing w:before="20" w:after="20" w:lineRule="exact" w:line="280"/>
      </w:pPr>
      <w:r>
        <w:rPr>
          <w:rFonts w:ascii="Calibri" w:hAnsi="Calibri" w:eastAsia="Calibri"/>
          <w:b/>
          <w:i w:val="0"/>
          <w:color w:val="1B3A4B"/>
          <w:sz w:val="20"/>
        </w:rPr>
        <w:t xml:space="preserve">Huawei — Software Engineer → SEPG / SQA (China) | Dec 2000 – Dec 2001.  </w:t>
      </w:r>
      <w:r>
        <w:rPr>
          <w:rFonts w:ascii="Calibri" w:hAnsi="Calibri" w:eastAsia="Calibri"/>
          <w:b w:val="0"/>
          <w:i w:val="0"/>
          <w:color w:val="222222"/>
          <w:sz w:val="20"/>
        </w:rPr>
        <w:t>Home Location Register (HLR) product work, then PPQA / SQA on four major telecom projects — early exposure to carrier-grade, high-availability infrastructure.</w:t>
      </w:r>
    </w:p>
    <w:p>
      <w:pPr>
        <w:spacing w:before="20" w:after="20" w:lineRule="exact" w:line="280"/>
      </w:pPr>
      <w:r>
        <w:rPr>
          <w:rFonts w:ascii="Calibri" w:hAnsi="Calibri" w:eastAsia="Calibri"/>
          <w:b/>
          <w:i w:val="0"/>
          <w:color w:val="1B3A4B"/>
          <w:sz w:val="20"/>
        </w:rPr>
        <w:t xml:space="preserve">Ionidea — Software Engineer | Jun 2000 – Dec 2000.  </w:t>
      </w:r>
      <w:r>
        <w:rPr>
          <w:rFonts w:ascii="Calibri" w:hAnsi="Calibri" w:eastAsia="Calibri"/>
          <w:b w:val="0"/>
          <w:i w:val="0"/>
          <w:color w:val="222222"/>
          <w:sz w:val="20"/>
        </w:rPr>
        <w:t>Development and support on intranet–internet application suite.</w:t>
      </w:r>
    </w:p>
    <w:p>
      <w:pPr>
        <w:spacing w:before="200" w:after="80" w:lineRule="exact" w:line="320"/>
        <w:jc w:val="left"/>
        <w:pBdr>
          <w:bottom w:val="single" w:sz="10" w:space="1" w:color="1B3A4B"/>
        </w:pBdr>
      </w:pPr>
      <w:r>
        <w:rPr>
          <w:rFonts w:ascii="Calibri" w:hAnsi="Calibri" w:eastAsia="Calibri"/>
          <w:b/>
          <w:i w:val="0"/>
          <w:caps/>
          <w:color w:val="1B3A4B"/>
          <w:sz w:val="22"/>
        </w:rPr>
        <w:t>CERTIFICATIONS</w:t>
      </w:r>
    </w:p>
    <w:p>
      <w:pPr>
        <w:spacing w:before="20" w:after="20" w:lineRule="exact" w:line="280"/>
      </w:pPr>
      <w:r>
        <w:rPr>
          <w:rFonts w:ascii="Calibri" w:hAnsi="Calibri" w:eastAsia="Calibri"/>
          <w:b/>
          <w:i w:val="0"/>
          <w:color w:val="1B3A4B"/>
          <w:sz w:val="21"/>
        </w:rPr>
        <w:t xml:space="preserve">CISM  </w:t>
      </w:r>
      <w:r>
        <w:rPr>
          <w:rFonts w:ascii="Calibri" w:hAnsi="Calibri" w:eastAsia="Calibri"/>
          <w:b w:val="0"/>
          <w:i w:val="0"/>
          <w:color w:val="222222"/>
          <w:sz w:val="21"/>
        </w:rPr>
        <w:t>— ISACA, Dec 2021  ·  #242577298</w:t>
      </w:r>
    </w:p>
    <w:p>
      <w:pPr>
        <w:spacing w:before="20" w:after="20" w:lineRule="exact" w:line="280"/>
      </w:pPr>
      <w:r>
        <w:rPr>
          <w:rFonts w:ascii="Calibri" w:hAnsi="Calibri" w:eastAsia="Calibri"/>
          <w:b/>
          <w:i w:val="0"/>
          <w:color w:val="1B3A4B"/>
          <w:sz w:val="21"/>
        </w:rPr>
        <w:t xml:space="preserve">CISA  </w:t>
      </w:r>
      <w:r>
        <w:rPr>
          <w:rFonts w:ascii="Calibri" w:hAnsi="Calibri" w:eastAsia="Calibri"/>
          <w:b w:val="0"/>
          <w:i w:val="0"/>
          <w:color w:val="222222"/>
          <w:sz w:val="21"/>
        </w:rPr>
        <w:t>— ISACA, Aug 2026</w:t>
      </w:r>
    </w:p>
    <w:p>
      <w:pPr>
        <w:spacing w:before="20" w:after="20" w:lineRule="exact" w:line="280"/>
      </w:pPr>
      <w:r>
        <w:rPr>
          <w:rFonts w:ascii="Calibri" w:hAnsi="Calibri" w:eastAsia="Calibri"/>
          <w:b/>
          <w:i w:val="0"/>
          <w:color w:val="1B3A4B"/>
          <w:sz w:val="21"/>
        </w:rPr>
        <w:t xml:space="preserve">PMP  </w:t>
      </w:r>
      <w:r>
        <w:rPr>
          <w:rFonts w:ascii="Calibri" w:hAnsi="Calibri" w:eastAsia="Calibri"/>
          <w:b w:val="0"/>
          <w:i w:val="0"/>
          <w:color w:val="222222"/>
          <w:sz w:val="21"/>
        </w:rPr>
        <w:t>— PMI, 2009  ·  #1230636</w:t>
      </w:r>
    </w:p>
    <w:p>
      <w:pPr>
        <w:spacing w:before="20" w:after="20" w:lineRule="exact" w:line="280"/>
      </w:pPr>
      <w:r>
        <w:rPr>
          <w:rFonts w:ascii="Calibri" w:hAnsi="Calibri" w:eastAsia="Calibri"/>
          <w:b/>
          <w:i w:val="0"/>
          <w:color w:val="1B3A4B"/>
          <w:sz w:val="21"/>
        </w:rPr>
        <w:t xml:space="preserve">CSQA  </w:t>
      </w:r>
      <w:r>
        <w:rPr>
          <w:rFonts w:ascii="Calibri" w:hAnsi="Calibri" w:eastAsia="Calibri"/>
          <w:b w:val="0"/>
          <w:i w:val="0"/>
          <w:color w:val="222222"/>
          <w:sz w:val="21"/>
        </w:rPr>
        <w:t>— QAI, 2008     ·     CSM — Scrum Alliance, 2015     ·     ITIL Foundation, 2011</w:t>
      </w:r>
    </w:p>
    <w:p>
      <w:pPr>
        <w:spacing w:before="200" w:after="80" w:lineRule="exact" w:line="320"/>
        <w:jc w:val="left"/>
        <w:pBdr>
          <w:bottom w:val="single" w:sz="10" w:space="1" w:color="1B3A4B"/>
        </w:pBdr>
      </w:pPr>
      <w:r>
        <w:rPr>
          <w:rFonts w:ascii="Calibri" w:hAnsi="Calibri" w:eastAsia="Calibri"/>
          <w:b/>
          <w:i w:val="0"/>
          <w:caps/>
          <w:color w:val="1B3A4B"/>
          <w:sz w:val="22"/>
        </w:rPr>
        <w:t>EDUCATION</w:t>
      </w:r>
    </w:p>
    <w:p>
      <w:pPr>
        <w:spacing w:before="20" w:after="20" w:lineRule="exact" w:line="280"/>
      </w:pPr>
      <w:r>
        <w:rPr>
          <w:rFonts w:ascii="Calibri" w:hAnsi="Calibri" w:eastAsia="Calibri"/>
          <w:b/>
          <w:i w:val="0"/>
          <w:color w:val="1B3A4B"/>
          <w:sz w:val="21"/>
        </w:rPr>
        <w:t xml:space="preserve">MBA, Quality Management  </w:t>
      </w:r>
      <w:r>
        <w:rPr>
          <w:rFonts w:ascii="Calibri" w:hAnsi="Calibri" w:eastAsia="Calibri"/>
          <w:b w:val="0"/>
          <w:i w:val="0"/>
          <w:color w:val="222222"/>
          <w:sz w:val="21"/>
        </w:rPr>
        <w:t>— SMU, Bangalore, 2012</w:t>
      </w:r>
    </w:p>
    <w:p>
      <w:pPr>
        <w:spacing w:before="20" w:after="20" w:lineRule="exact" w:line="280"/>
      </w:pPr>
      <w:r>
        <w:rPr>
          <w:rFonts w:ascii="Calibri" w:hAnsi="Calibri" w:eastAsia="Calibri"/>
          <w:b/>
          <w:i w:val="0"/>
          <w:color w:val="1B3A4B"/>
          <w:sz w:val="21"/>
        </w:rPr>
        <w:t xml:space="preserve">B.Sc., Mathematics  </w:t>
      </w:r>
      <w:r>
        <w:rPr>
          <w:rFonts w:ascii="Calibri" w:hAnsi="Calibri" w:eastAsia="Calibri"/>
          <w:b w:val="0"/>
          <w:i w:val="0"/>
          <w:color w:val="222222"/>
          <w:sz w:val="21"/>
        </w:rPr>
        <w:t>— Bangalore University, 1997</w:t>
      </w:r>
    </w:p>
    <w:p>
      <w:pPr>
        <w:spacing w:before="200" w:after="80" w:lineRule="exact" w:line="320"/>
        <w:jc w:val="left"/>
        <w:pBdr>
          <w:bottom w:val="single" w:sz="10" w:space="1" w:color="1B3A4B"/>
        </w:pBdr>
      </w:pPr>
      <w:r>
        <w:rPr>
          <w:rFonts w:ascii="Calibri" w:hAnsi="Calibri" w:eastAsia="Calibri"/>
          <w:b/>
          <w:i w:val="0"/>
          <w:caps/>
          <w:color w:val="1B3A4B"/>
          <w:sz w:val="22"/>
        </w:rPr>
        <w:t>STANDARDS, REGULATORY &amp; CONTROL FRAMEWORKS</w:t>
      </w:r>
    </w:p>
    <w:p>
      <w:pPr>
        <w:spacing w:before="0" w:after="60" w:lineRule="exact" w:line="280"/>
        <w:jc w:val="both"/>
      </w:pPr>
      <w:r>
        <w:rPr>
          <w:rFonts w:ascii="Calibri" w:hAnsi="Calibri" w:eastAsia="Calibri"/>
          <w:b w:val="0"/>
          <w:i w:val="0"/>
          <w:color w:val="222222"/>
          <w:sz w:val="20"/>
        </w:rPr>
        <w:t>Day-to-day: IEC 62443 (SL2/SL3), ISO 27001 / ISMS, NIST CSF and risk methods, HIPAA, CENELEC EN 50126/28/29 (safety-adjacent cyber), CMMI, ITIL, OWASP, CIS-oriented baselines, SOX / GLBA / FFIEC-style mapping.</w:t>
      </w:r>
    </w:p>
    <w:p>
      <w:pPr>
        <w:spacing w:before="0" w:after="60" w:lineRule="exact" w:line="280"/>
        <w:jc w:val="both"/>
      </w:pPr>
      <w:r>
        <w:rPr>
          <w:rFonts w:ascii="Calibri" w:hAnsi="Calibri" w:eastAsia="Calibri"/>
          <w:b w:val="0"/>
          <w:i w:val="0"/>
          <w:color w:val="222222"/>
          <w:sz w:val="20"/>
        </w:rPr>
        <w:t>APAC and CII-relevant codes worked with or tracked: Singapore CCOP2; Hong Kong COP; Australian AS 7770 and Privacy Act / cyber-strategy awareness. Middle East bid mapping: Saudi NCA ECC / OTCC; UAE Information Assurance; Egypt Cybersecurity Law. Comfortable extending the same control-mapping method to additional payments and FS regimes (PCI-DSS, technology-risk guidelines, cross-border data protection) as required.</w:t>
      </w:r>
    </w:p>
    <w:p>
      <w:pPr>
        <w:spacing w:before="200" w:after="80" w:lineRule="exact" w:line="320"/>
        <w:jc w:val="left"/>
        <w:pBdr>
          <w:bottom w:val="single" w:sz="10" w:space="1" w:color="1B3A4B"/>
        </w:pBdr>
      </w:pPr>
      <w:r>
        <w:rPr>
          <w:rFonts w:ascii="Calibri" w:hAnsi="Calibri" w:eastAsia="Calibri"/>
          <w:b/>
          <w:i w:val="0"/>
          <w:caps/>
          <w:color w:val="1B3A4B"/>
          <w:sz w:val="22"/>
        </w:rPr>
        <w:t>LANGUAGES</w:t>
      </w:r>
    </w:p>
    <w:p>
      <w:pPr>
        <w:spacing w:before="0" w:after="40" w:lineRule="exact" w:line="280"/>
        <w:jc w:val="both"/>
      </w:pPr>
      <w:r>
        <w:rPr>
          <w:rFonts w:ascii="Calibri" w:hAnsi="Calibri" w:eastAsia="Calibri"/>
          <w:b w:val="0"/>
          <w:i w:val="0"/>
          <w:color w:val="222222"/>
          <w:sz w:val="21"/>
        </w:rPr>
        <w:t>English, Mandarin (working), Kannada, Telugu, Tamil, Hindi.</w:t>
      </w:r>
    </w:p>
    <w:p>
      <w:pPr>
        <w:spacing w:before="160" w:after="0" w:lineRule="exact" w:line="260"/>
        <w:pBdr>
          <w:top w:val="single" w:sz="8" w:space="4" w:color="1B3A4B"/>
        </w:pBdr>
      </w:pPr>
      <w:r>
        <w:rPr>
          <w:rFonts w:ascii="Calibri" w:hAnsi="Calibri" w:eastAsia="Calibri"/>
          <w:b w:val="0"/>
          <w:i/>
          <w:color w:val="4A555C"/>
          <w:sz w:val="18"/>
        </w:rPr>
        <w:t>References and a detailed control / project list available on request. Happy to walk through a live architecture-risk, ISMS, or bid-to-control case in interview.</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