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56D93FCB" w:rsidR="00725074" w:rsidRPr="00CC5023" w:rsidRDefault="00CC5023" w:rsidP="0009351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CC5023">
        <w:rPr>
          <w:rFonts w:ascii="Times New Roman" w:hAnsi="Times New Roman"/>
          <w:b/>
          <w:bCs/>
          <w:sz w:val="36"/>
          <w:szCs w:val="36"/>
        </w:rPr>
        <w:t>LITERATURE SURVEY</w:t>
      </w:r>
    </w:p>
    <w:p w14:paraId="4C88F4DB" w14:textId="3D265D69" w:rsidR="00725074" w:rsidRPr="00725074" w:rsidRDefault="00725074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C333B7" w14:textId="716E1087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1. Foundations: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Understanding Hallucination in LLMs</w:t>
      </w:r>
    </w:p>
    <w:p w14:paraId="6BA3CEBE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>Recent comprehensive surveys have established the taxonomy and root causes of hallucinations, defining the scope of the problem your project addresses.</w:t>
      </w:r>
    </w:p>
    <w:p w14:paraId="063F3202" w14:textId="77777777" w:rsidR="007A4AA3" w:rsidRPr="005635A0" w:rsidRDefault="007A4AA3" w:rsidP="0053351F">
      <w:pPr>
        <w:numPr>
          <w:ilvl w:val="0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Ji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Survey of Hallucination in Large Language Models</w:t>
      </w:r>
    </w:p>
    <w:p w14:paraId="416E2841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Definition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This work defines hallucination as content generated by an LLM that is fluent and syntactically correct but factually inaccurate or unsupported by external evidence.</w:t>
      </w:r>
    </w:p>
    <w:p w14:paraId="3A0B21ED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Taxonomy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It distinguishes between Intrinsic Hallucinations (where the generated output contradicts the source material or itself) and Extrinsic Hallucinations (where the output cannot be verified from the source or contradicts real-world knowledge).</w:t>
      </w:r>
    </w:p>
    <w:p w14:paraId="5821528B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Causes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The survey identifies that hallucinations stem from both data collection issues (misinformation in training data) and inference mechanisms (decoding strategies like top-k sampling that prioritize diversity over accuracy).</w:t>
      </w:r>
    </w:p>
    <w:p w14:paraId="11688959" w14:textId="77777777" w:rsidR="007A4AA3" w:rsidRPr="005635A0" w:rsidRDefault="007A4AA3" w:rsidP="0053351F">
      <w:pPr>
        <w:numPr>
          <w:ilvl w:val="0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Huang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A Survey on Hallucination in Large Language Models</w:t>
      </w:r>
    </w:p>
    <w:p w14:paraId="7269CF8E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Categorization: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This survey introduces a distinction between Factuality Hallucination (deviating from established real-world facts)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and Faithfulness Hallucination (diverging from the user's provided input context).</w:t>
      </w:r>
    </w:p>
    <w:p w14:paraId="6EC7E34E" w14:textId="479EC502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Relevance to Project: </w:t>
      </w:r>
      <w:r w:rsidRPr="005635A0">
        <w:rPr>
          <w:rFonts w:ascii="Times New Roman" w:hAnsi="Times New Roman"/>
          <w:sz w:val="24"/>
          <w:szCs w:val="24"/>
        </w:rPr>
        <w:t>It highlights that while LLMs excel at reasoning, they struggle with "knowledge-intensive" tasks due to limited parametric memory, validating your project's focus on QA tasks.</w:t>
      </w:r>
    </w:p>
    <w:p w14:paraId="5247D498" w14:textId="77777777" w:rsidR="005635A0" w:rsidRPr="005635A0" w:rsidRDefault="005635A0" w:rsidP="005635A0">
      <w:pPr>
        <w:tabs>
          <w:tab w:val="left" w:pos="540"/>
        </w:tabs>
        <w:spacing w:line="360" w:lineRule="auto"/>
        <w:ind w:left="1440"/>
        <w:rPr>
          <w:rFonts w:ascii="Times New Roman" w:hAnsi="Times New Roman"/>
          <w:b/>
          <w:bCs/>
          <w:sz w:val="32"/>
          <w:szCs w:val="32"/>
        </w:rPr>
      </w:pPr>
    </w:p>
    <w:p w14:paraId="05681FAD" w14:textId="22486E20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2.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The "Reactive" Standard: Post-Hoc Detection</w:t>
      </w:r>
    </w:p>
    <w:p w14:paraId="0693D88A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 xml:space="preserve">Current industry standards largely rely on checking the model's work </w:t>
      </w:r>
      <w:r w:rsidRPr="005635A0">
        <w:rPr>
          <w:rFonts w:ascii="Times New Roman" w:hAnsi="Times New Roman"/>
          <w:i/>
          <w:iCs/>
          <w:sz w:val="24"/>
          <w:szCs w:val="24"/>
        </w:rPr>
        <w:t>after</w:t>
      </w:r>
      <w:r w:rsidRPr="005635A0">
        <w:rPr>
          <w:rFonts w:ascii="Times New Roman" w:hAnsi="Times New Roman"/>
          <w:sz w:val="24"/>
          <w:szCs w:val="24"/>
        </w:rPr>
        <w:t xml:space="preserve"> it has been generated. This represents the "reactive" approach your project aims to replace.</w:t>
      </w:r>
    </w:p>
    <w:p w14:paraId="3AD21B81" w14:textId="77777777" w:rsidR="00855CEB" w:rsidRDefault="00855CEB">
      <w:pPr>
        <w:suppressAutoHyphens w:val="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0E6CB72" w14:textId="3440F3B4" w:rsidR="007A4AA3" w:rsidRPr="005635A0" w:rsidRDefault="007A4AA3" w:rsidP="0053351F">
      <w:pPr>
        <w:numPr>
          <w:ilvl w:val="0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lastRenderedPageBreak/>
        <w:t xml:space="preserve">Manakul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SelfCheckGPT</w:t>
      </w:r>
    </w:p>
    <w:p w14:paraId="6117BFC9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bCs/>
          <w:sz w:val="24"/>
          <w:szCs w:val="24"/>
        </w:rPr>
        <w:t>This is a "zero-resource" black-box method. It detects hallucinations by sampling multiple stochastic responses (e.g., 5–10 variations) from the LLM for the same query.</w:t>
      </w:r>
    </w:p>
    <w:p w14:paraId="67256719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The Core Idea: </w:t>
      </w:r>
      <w:r w:rsidRPr="005635A0">
        <w:rPr>
          <w:rFonts w:ascii="Times New Roman" w:hAnsi="Times New Roman"/>
          <w:bCs/>
          <w:sz w:val="24"/>
          <w:szCs w:val="24"/>
        </w:rPr>
        <w:t>It operates on the principle of consistency: if an LLM "knows" a fact, its sampled responses will likely be similar. If it is hallucinating, the samples will diverge and contradict one another.</w:t>
      </w:r>
    </w:p>
    <w:p w14:paraId="20F10532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Limitations (The Gap):</w:t>
      </w:r>
    </w:p>
    <w:p w14:paraId="59612435" w14:textId="77777777" w:rsidR="007A4AA3" w:rsidRPr="007A4AA3" w:rsidRDefault="007A4AA3" w:rsidP="0053351F">
      <w:pPr>
        <w:numPr>
          <w:ilvl w:val="2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Computational Cost: </w:t>
      </w:r>
      <w:r w:rsidRPr="005635A0">
        <w:rPr>
          <w:rFonts w:ascii="Times New Roman" w:hAnsi="Times New Roman"/>
          <w:bCs/>
          <w:sz w:val="24"/>
          <w:szCs w:val="24"/>
        </w:rPr>
        <w:t>It requires generating multiple answers for every single query, making it roughly 4.2x more expensive than standard generation.</w:t>
      </w:r>
    </w:p>
    <w:p w14:paraId="498802A8" w14:textId="366A0CBB" w:rsidR="007A4AA3" w:rsidRDefault="007A4AA3" w:rsidP="0053351F">
      <w:pPr>
        <w:numPr>
          <w:ilvl w:val="2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32"/>
          <w:szCs w:val="32"/>
        </w:rPr>
      </w:pPr>
      <w:r w:rsidRPr="005635A0">
        <w:rPr>
          <w:rFonts w:ascii="Times New Roman" w:hAnsi="Times New Roman"/>
          <w:b/>
          <w:sz w:val="24"/>
          <w:szCs w:val="24"/>
        </w:rPr>
        <w:t>Latency</w:t>
      </w:r>
      <w:r w:rsidRPr="007A4AA3">
        <w:rPr>
          <w:rFonts w:ascii="Times New Roman" w:hAnsi="Times New Roman"/>
          <w:bCs/>
          <w:sz w:val="32"/>
          <w:szCs w:val="32"/>
        </w:rPr>
        <w:t xml:space="preserve">: </w:t>
      </w:r>
      <w:r w:rsidRPr="005635A0">
        <w:rPr>
          <w:rFonts w:ascii="Times New Roman" w:hAnsi="Times New Roman"/>
          <w:bCs/>
          <w:sz w:val="24"/>
          <w:szCs w:val="24"/>
        </w:rPr>
        <w:t>It is slow because it acts only after the initial generation is complete, making it unsuitable for real-time low-latency applications.</w:t>
      </w:r>
    </w:p>
    <w:p w14:paraId="0034A404" w14:textId="77777777" w:rsidR="006638F5" w:rsidRPr="007A4AA3" w:rsidRDefault="006638F5" w:rsidP="005635A0">
      <w:pPr>
        <w:tabs>
          <w:tab w:val="left" w:pos="540"/>
        </w:tabs>
        <w:spacing w:line="360" w:lineRule="auto"/>
        <w:ind w:left="2160"/>
        <w:rPr>
          <w:rFonts w:ascii="Times New Roman" w:hAnsi="Times New Roman"/>
          <w:bCs/>
          <w:sz w:val="32"/>
          <w:szCs w:val="32"/>
        </w:rPr>
      </w:pPr>
    </w:p>
    <w:p w14:paraId="01DAC3B9" w14:textId="000F4FF9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3. The "Preventative" Standard: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Retrieval-Augmented Generation</w:t>
      </w:r>
    </w:p>
    <w:p w14:paraId="409337C5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>To prevent hallucinations, RAG was introduced to ground LLMs in external data.</w:t>
      </w:r>
    </w:p>
    <w:p w14:paraId="6ACF56CF" w14:textId="77777777" w:rsidR="007A4AA3" w:rsidRPr="005635A0" w:rsidRDefault="007A4AA3" w:rsidP="0053351F">
      <w:pPr>
        <w:numPr>
          <w:ilvl w:val="0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Lewis et al. (2020)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Retrieval-Augmented Generation (RAG)</w:t>
      </w:r>
    </w:p>
    <w:p w14:paraId="2F4236AA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This seminal work combined a pre-trained sequence-to-sequence generator (like BART) with a dense vector retriever (DPR). Before answering, the model retrieves relevant documents (non-parametric memory) to inform its response.</w:t>
      </w:r>
    </w:p>
    <w:p w14:paraId="1A37EE27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Impact: </w:t>
      </w:r>
      <w:r w:rsidRPr="005635A0">
        <w:rPr>
          <w:rFonts w:ascii="Times New Roman" w:hAnsi="Times New Roman"/>
          <w:bCs/>
          <w:sz w:val="24"/>
          <w:szCs w:val="24"/>
        </w:rPr>
        <w:t>It significantly reduced hallucinations in knowledge-intensive tasks by reducing reliance on the model's internal (parametric) memory.</w:t>
      </w:r>
    </w:p>
    <w:p w14:paraId="6EB81233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Limitations (The Gap):</w:t>
      </w:r>
    </w:p>
    <w:p w14:paraId="269F2C09" w14:textId="77777777" w:rsidR="007A4AA3" w:rsidRPr="007A4AA3" w:rsidRDefault="007A4AA3" w:rsidP="0053351F">
      <w:pPr>
        <w:numPr>
          <w:ilvl w:val="2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"Always-On" Inefficiency: </w:t>
      </w:r>
      <w:r w:rsidRPr="005635A0">
        <w:rPr>
          <w:rFonts w:ascii="Times New Roman" w:hAnsi="Times New Roman"/>
          <w:bCs/>
          <w:sz w:val="24"/>
          <w:szCs w:val="24"/>
        </w:rPr>
        <w:t xml:space="preserve">Standard RAG retrieves documents for </w:t>
      </w:r>
      <w:r w:rsidRPr="005635A0">
        <w:rPr>
          <w:rFonts w:ascii="Times New Roman" w:hAnsi="Times New Roman"/>
          <w:bCs/>
          <w:i/>
          <w:iCs/>
          <w:sz w:val="24"/>
          <w:szCs w:val="24"/>
        </w:rPr>
        <w:t>every</w:t>
      </w:r>
      <w:r w:rsidRPr="005635A0">
        <w:rPr>
          <w:rFonts w:ascii="Times New Roman" w:hAnsi="Times New Roman"/>
          <w:bCs/>
          <w:sz w:val="24"/>
          <w:szCs w:val="24"/>
        </w:rPr>
        <w:t xml:space="preserve"> query, even simple ones (e.g., "What is the capital of France?"), adding unnecessary latency and computational overhead.</w:t>
      </w:r>
    </w:p>
    <w:p w14:paraId="155A87F0" w14:textId="4E2225BC" w:rsidR="00855CEB" w:rsidRPr="00855CEB" w:rsidRDefault="007A4AA3" w:rsidP="00855CEB">
      <w:pPr>
        <w:numPr>
          <w:ilvl w:val="2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Context Hallucination: </w:t>
      </w:r>
      <w:r w:rsidRPr="005635A0">
        <w:rPr>
          <w:rFonts w:ascii="Times New Roman" w:hAnsi="Times New Roman"/>
          <w:bCs/>
          <w:sz w:val="24"/>
          <w:szCs w:val="24"/>
        </w:rPr>
        <w:t>If the retrieved documents are irrelevant or conflicting, the model can still hallucinate by misinterpreting the context</w:t>
      </w:r>
      <w:r w:rsidR="005635A0">
        <w:rPr>
          <w:rFonts w:ascii="Times New Roman" w:hAnsi="Times New Roman"/>
          <w:bCs/>
          <w:sz w:val="24"/>
          <w:szCs w:val="24"/>
        </w:rPr>
        <w:t>.</w:t>
      </w:r>
    </w:p>
    <w:p w14:paraId="33775FD8" w14:textId="346A91E2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4. The "Proactive" Shift: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Confidence-Aware Routing</w:t>
      </w:r>
    </w:p>
    <w:p w14:paraId="1B64FADE" w14:textId="77777777" w:rsidR="007A4AA3" w:rsidRPr="007A4AA3" w:rsidRDefault="007A4AA3" w:rsidP="0053351F">
      <w:pPr>
        <w:numPr>
          <w:ilvl w:val="0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N. M (2025)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Confidence-Aware Routing for LLM Reliability</w:t>
      </w:r>
    </w:p>
    <w:p w14:paraId="0BF8C5DB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Core Philosophy: </w:t>
      </w:r>
      <w:r w:rsidRPr="005635A0">
        <w:rPr>
          <w:rFonts w:ascii="Times New Roman" w:hAnsi="Times New Roman"/>
          <w:bCs/>
          <w:sz w:val="24"/>
          <w:szCs w:val="24"/>
        </w:rPr>
        <w:t xml:space="preserve">This paper proposes shifting from "reactive correction" to "proactive assessment." It predicts reliability </w:t>
      </w:r>
      <w:r w:rsidRPr="005635A0">
        <w:rPr>
          <w:rFonts w:ascii="Times New Roman" w:hAnsi="Times New Roman"/>
          <w:bCs/>
          <w:i/>
          <w:iCs/>
          <w:sz w:val="24"/>
          <w:szCs w:val="24"/>
        </w:rPr>
        <w:t>before</w:t>
      </w:r>
      <w:r w:rsidRPr="005635A0">
        <w:rPr>
          <w:rFonts w:ascii="Times New Roman" w:hAnsi="Times New Roman"/>
          <w:bCs/>
          <w:sz w:val="24"/>
          <w:szCs w:val="24"/>
        </w:rPr>
        <w:t xml:space="preserve"> generation to decide if the model needs help.</w:t>
      </w:r>
    </w:p>
    <w:p w14:paraId="61CB26AB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It calculates a confidence score using three internal signals:</w:t>
      </w:r>
    </w:p>
    <w:p w14:paraId="49974C3B" w14:textId="77777777" w:rsidR="007A4AA3" w:rsidRPr="005635A0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Semantic Alignment: </w:t>
      </w:r>
      <w:r w:rsidRPr="005635A0">
        <w:rPr>
          <w:rFonts w:ascii="Times New Roman" w:hAnsi="Times New Roman"/>
          <w:sz w:val="24"/>
          <w:szCs w:val="24"/>
        </w:rPr>
        <w:t>Measuring the distance between the model's internal representations and reference embeddings.</w:t>
      </w:r>
    </w:p>
    <w:p w14:paraId="4C5452AB" w14:textId="70EBE2DA" w:rsidR="007A4AA3" w:rsidRPr="005635A0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Internal Convergence: </w:t>
      </w:r>
      <w:r w:rsidR="006638F5" w:rsidRPr="005635A0">
        <w:rPr>
          <w:rFonts w:ascii="Times New Roman" w:hAnsi="Times New Roman"/>
          <w:bCs/>
          <w:sz w:val="24"/>
          <w:szCs w:val="24"/>
        </w:rPr>
        <w:t>Analysing</w:t>
      </w:r>
      <w:r w:rsidRPr="005635A0">
        <w:rPr>
          <w:rFonts w:ascii="Times New Roman" w:hAnsi="Times New Roman"/>
          <w:bCs/>
          <w:sz w:val="24"/>
          <w:szCs w:val="24"/>
        </w:rPr>
        <w:t xml:space="preserve"> how stable the model's hidden states are across its layers.</w:t>
      </w:r>
    </w:p>
    <w:p w14:paraId="59F43ECA" w14:textId="77777777" w:rsidR="007A4AA3" w:rsidRPr="007A4AA3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Learned Confidence: </w:t>
      </w:r>
      <w:r w:rsidRPr="005635A0">
        <w:rPr>
          <w:rFonts w:ascii="Times New Roman" w:hAnsi="Times New Roman"/>
          <w:sz w:val="24"/>
          <w:szCs w:val="24"/>
        </w:rPr>
        <w:t>A dedicated estimation of the model's own certainty.</w:t>
      </w:r>
    </w:p>
    <w:p w14:paraId="0A19AEF7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Routing: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Based on this score, it routes queries to: Direct Generation (High confidence), RAG (Medium confidence), or Human Review (Low confidence).</w:t>
      </w:r>
    </w:p>
    <w:p w14:paraId="1659FC92" w14:textId="5A65A27B" w:rsidR="007A4AA3" w:rsidRPr="007A4AA3" w:rsidRDefault="00A56A10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24"/>
          <w:szCs w:val="24"/>
        </w:rPr>
        <w:t>O</w:t>
      </w:r>
      <w:r w:rsidR="007A4AA3" w:rsidRPr="005635A0">
        <w:rPr>
          <w:rFonts w:ascii="Times New Roman" w:hAnsi="Times New Roman"/>
          <w:b/>
          <w:bCs/>
          <w:sz w:val="24"/>
          <w:szCs w:val="24"/>
        </w:rPr>
        <w:t>ur Contribution (The Extension):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 xml:space="preserve">The base paper is </w:t>
      </w:r>
      <w:r>
        <w:rPr>
          <w:rFonts w:ascii="Times New Roman" w:hAnsi="Times New Roman"/>
          <w:sz w:val="24"/>
          <w:szCs w:val="24"/>
        </w:rPr>
        <w:t>“</w:t>
      </w:r>
      <w:r w:rsidR="007A4AA3" w:rsidRPr="005635A0">
        <w:rPr>
          <w:rFonts w:ascii="Times New Roman" w:hAnsi="Times New Roman"/>
          <w:sz w:val="24"/>
          <w:szCs w:val="24"/>
        </w:rPr>
        <w:t>Self-Aware</w:t>
      </w:r>
      <w:r>
        <w:rPr>
          <w:rFonts w:ascii="Times New Roman" w:hAnsi="Times New Roman"/>
          <w:sz w:val="24"/>
          <w:szCs w:val="24"/>
        </w:rPr>
        <w:t>”</w:t>
      </w:r>
      <w:r w:rsidR="007A4AA3" w:rsidRPr="005635A0">
        <w:rPr>
          <w:rFonts w:ascii="Times New Roman" w:hAnsi="Times New Roman"/>
          <w:sz w:val="24"/>
          <w:szCs w:val="24"/>
        </w:rPr>
        <w:t xml:space="preserve"> (internal signals only). </w:t>
      </w:r>
      <w:r w:rsidR="005635A0" w:rsidRPr="005635A0">
        <w:rPr>
          <w:rFonts w:ascii="Times New Roman" w:hAnsi="Times New Roman"/>
          <w:sz w:val="24"/>
          <w:szCs w:val="24"/>
        </w:rPr>
        <w:t>O</w:t>
      </w:r>
      <w:r w:rsidR="007A4AA3" w:rsidRPr="005635A0">
        <w:rPr>
          <w:rFonts w:ascii="Times New Roman" w:hAnsi="Times New Roman"/>
          <w:sz w:val="24"/>
          <w:szCs w:val="24"/>
        </w:rPr>
        <w:t xml:space="preserve">ur project makes it </w:t>
      </w:r>
      <w:r>
        <w:rPr>
          <w:rFonts w:ascii="Times New Roman" w:hAnsi="Times New Roman"/>
          <w:sz w:val="24"/>
          <w:szCs w:val="24"/>
        </w:rPr>
        <w:t>“</w:t>
      </w:r>
      <w:r w:rsidR="007A4AA3" w:rsidRPr="005635A0">
        <w:rPr>
          <w:rFonts w:ascii="Times New Roman" w:hAnsi="Times New Roman"/>
          <w:sz w:val="24"/>
          <w:szCs w:val="24"/>
        </w:rPr>
        <w:t>Context-Aware</w:t>
      </w:r>
      <w:r>
        <w:rPr>
          <w:rFonts w:ascii="Times New Roman" w:hAnsi="Times New Roman"/>
          <w:sz w:val="24"/>
          <w:szCs w:val="24"/>
        </w:rPr>
        <w:t>”</w:t>
      </w:r>
      <w:r w:rsidR="007A4AA3" w:rsidRPr="005635A0">
        <w:rPr>
          <w:rFonts w:ascii="Times New Roman" w:hAnsi="Times New Roman"/>
          <w:sz w:val="24"/>
          <w:szCs w:val="24"/>
        </w:rPr>
        <w:t xml:space="preserve"> by adding an External Reality Check (Context Scarcity, Conflict, and Domain Mismatch) to catch</w:t>
      </w:r>
      <w:r w:rsidR="007A4AA3" w:rsidRPr="005635A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>cases where the</w:t>
      </w:r>
      <w:r w:rsidR="007A4AA3" w:rsidRPr="005635A0">
        <w:rPr>
          <w:rFonts w:ascii="Times New Roman" w:hAnsi="Times New Roman"/>
          <w:sz w:val="28"/>
          <w:szCs w:val="28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 xml:space="preserve">model feels confident but </w:t>
      </w:r>
      <w:r w:rsidR="007A4AA3" w:rsidRPr="005635A0">
        <w:rPr>
          <w:rFonts w:ascii="Times New Roman" w:hAnsi="Times New Roman"/>
          <w:sz w:val="28"/>
          <w:szCs w:val="28"/>
        </w:rPr>
        <w:t xml:space="preserve">is </w:t>
      </w:r>
      <w:r w:rsidR="007A4AA3" w:rsidRPr="005635A0">
        <w:rPr>
          <w:rFonts w:ascii="Times New Roman" w:hAnsi="Times New Roman"/>
          <w:sz w:val="24"/>
          <w:szCs w:val="24"/>
        </w:rPr>
        <w:t>being misled by bad data</w:t>
      </w:r>
      <w:r w:rsidR="007A4AA3" w:rsidRPr="005635A0">
        <w:rPr>
          <w:rFonts w:ascii="Times New Roman" w:hAnsi="Times New Roman"/>
          <w:sz w:val="28"/>
          <w:szCs w:val="28"/>
        </w:rPr>
        <w:t>.</w:t>
      </w:r>
    </w:p>
    <w:p w14:paraId="3A11974D" w14:textId="49AA20A8" w:rsidR="00A56A10" w:rsidRDefault="00A56A10">
      <w:pPr>
        <w:suppressAutoHyphens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EB3B602" w14:textId="77777777" w:rsidR="00F333A1" w:rsidRDefault="00F333A1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8"/>
        <w:gridCol w:w="2115"/>
        <w:gridCol w:w="2866"/>
        <w:gridCol w:w="2847"/>
      </w:tblGrid>
      <w:tr w:rsidR="00A56A10" w:rsidRPr="00A56A10" w14:paraId="64E043CC" w14:textId="77777777" w:rsidTr="00A56A10">
        <w:trPr>
          <w:tblHeader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8105D" w14:textId="532743DF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Study / Author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890C8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Approach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7300E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Key Methodology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B7C66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Limitation (The Gap)</w:t>
            </w:r>
          </w:p>
        </w:tc>
      </w:tr>
      <w:tr w:rsidR="00A56A10" w:rsidRPr="00A56A10" w14:paraId="4F70760E" w14:textId="77777777" w:rsidTr="00A56A10">
        <w:trPr>
          <w:trHeight w:val="1909"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5D4C9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Ji et al. (2023); Huang et al. (2023)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0D72C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Survey / Taxonomy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76A4" w14:textId="78E88ED1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Defined hallucinations (Intrinsic vs. Extrinsic, Factuality vs. Faithfulness) and causes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3729B" w14:textId="0CBBDCAB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Identifies the problem but offers a definition rather than a solution.</w:t>
            </w:r>
          </w:p>
        </w:tc>
      </w:tr>
      <w:tr w:rsidR="00A56A10" w:rsidRPr="00A56A10" w14:paraId="5DD46C4A" w14:textId="77777777" w:rsidTr="00A56A10">
        <w:trPr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DD772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SelfCheckGPT (Manakul et al., 2023)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EFA85" w14:textId="7205C2E0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Reactive (post-Hoc)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D8C72" w14:textId="7EA7B16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Samples multiple stochastic responses to check for consistency; if samples diverge, it</w:t>
            </w:r>
            <w:r>
              <w:rPr>
                <w:rFonts w:ascii="Times New Roman" w:hAnsi="Times New Roman"/>
                <w:sz w:val="24"/>
                <w:szCs w:val="24"/>
              </w:rPr>
              <w:t>’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s a hallucination.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1B9DE" w14:textId="1E0D3F99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High Latency &amp; Cost: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Roughly 4.2x more expensive than standard generation; unsuitable for real-time apps.</w:t>
            </w:r>
          </w:p>
        </w:tc>
      </w:tr>
      <w:tr w:rsidR="00A56A10" w:rsidRPr="00A56A10" w14:paraId="406B8DE9" w14:textId="77777777" w:rsidTr="00A56A10">
        <w:trPr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B2947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RAG (Lewis et al., 2020)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B4CD5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Preventative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F3827" w14:textId="6DA5DE4B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Retrieves external documents to ground the model before answering.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A39E3" w14:textId="7E36492C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“</w:t>
            </w: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Always-On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”</w:t>
            </w: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Inefficiency: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Retrieves data even for simple queries, adding unnecessary overhead.</w:t>
            </w:r>
          </w:p>
        </w:tc>
      </w:tr>
      <w:tr w:rsidR="00A56A10" w:rsidRPr="00A56A10" w14:paraId="7FA834D7" w14:textId="77777777" w:rsidTr="00A56A10">
        <w:trPr>
          <w:trHeight w:val="1484"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FF251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Confidence-Aware Routing (N. M, 2025)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002FD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Proactive (Self-Aware)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7D99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 xml:space="preserve">Predicts reliability </w:t>
            </w:r>
            <w:r w:rsidRPr="00A56A10">
              <w:rPr>
                <w:rFonts w:ascii="Times New Roman" w:hAnsi="Times New Roman"/>
                <w:i/>
                <w:iCs/>
                <w:sz w:val="24"/>
                <w:szCs w:val="24"/>
              </w:rPr>
              <w:t>before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generation using internal signals like semantic alignment and convergence</w:t>
            </w:r>
            <w:r w:rsidRPr="00A56A10">
              <w:rPr>
                <w:rFonts w:ascii="Times New Roman" w:hAnsi="Times New Roman"/>
                <w:sz w:val="24"/>
                <w:szCs w:val="24"/>
                <w:vertAlign w:val="superscript"/>
              </w:rPr>
              <w:t>7777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240AF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Lacks Context Awareness: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Only looks at internal signals, missing cases where the model is confident but misled by bad context</w:t>
            </w:r>
            <w:r w:rsidRPr="00A56A10">
              <w:rPr>
                <w:rFonts w:ascii="Times New Roman" w:hAnsi="Times New Roman"/>
                <w:sz w:val="24"/>
                <w:szCs w:val="24"/>
                <w:vertAlign w:val="superscript"/>
              </w:rPr>
              <w:t>8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6F3A15A4" w14:textId="1B834AE7" w:rsidR="00A56A10" w:rsidRPr="00093512" w:rsidRDefault="00A56A10" w:rsidP="00A56A10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Table </w:t>
      </w:r>
      <w:r>
        <w:rPr>
          <w:rFonts w:ascii="Times New Roman" w:hAnsi="Times New Roman"/>
          <w:b/>
          <w:bCs/>
          <w:sz w:val="24"/>
          <w:szCs w:val="24"/>
        </w:rPr>
        <w:t xml:space="preserve">3.1 Summary of Literature Survey </w:t>
      </w:r>
    </w:p>
    <w:sectPr w:rsidR="00A56A10" w:rsidRPr="00093512" w:rsidSect="00005F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6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0C36C" w14:textId="77777777" w:rsidR="000224AA" w:rsidRDefault="000224AA" w:rsidP="000A5C89">
      <w:r>
        <w:separator/>
      </w:r>
    </w:p>
  </w:endnote>
  <w:endnote w:type="continuationSeparator" w:id="0">
    <w:p w14:paraId="009F45AA" w14:textId="77777777" w:rsidR="000224AA" w:rsidRDefault="000224AA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5351" w14:textId="77777777" w:rsidR="00005F06" w:rsidRDefault="00005F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4204C6A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633BFB" w:rsidRPr="00633BFB">
            <w:rPr>
              <w:sz w:val="20"/>
              <w:szCs w:val="20"/>
            </w:rPr>
            <w:fldChar w:fldCharType="begin"/>
          </w:r>
          <w:r w:rsidR="00633BFB" w:rsidRPr="00633BFB">
            <w:rPr>
              <w:sz w:val="20"/>
              <w:szCs w:val="20"/>
            </w:rPr>
            <w:instrText xml:space="preserve"> PAGE   \* MERGEFORMAT </w:instrText>
          </w:r>
          <w:r w:rsidR="00633BFB" w:rsidRPr="00633BFB">
            <w:rPr>
              <w:sz w:val="20"/>
              <w:szCs w:val="20"/>
            </w:rPr>
            <w:fldChar w:fldCharType="separate"/>
          </w:r>
          <w:r w:rsidR="00633BFB" w:rsidRPr="00633BFB">
            <w:rPr>
              <w:noProof/>
              <w:sz w:val="20"/>
              <w:szCs w:val="20"/>
            </w:rPr>
            <w:t>1</w:t>
          </w:r>
          <w:r w:rsidR="00633BFB" w:rsidRPr="00633BFB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F9D5" w14:textId="77777777" w:rsidR="00855CEB" w:rsidRDefault="00855CEB" w:rsidP="00855CEB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855CEB" w14:paraId="307315A5" w14:textId="77777777" w:rsidTr="00931A9F">
      <w:tc>
        <w:tcPr>
          <w:tcW w:w="3253" w:type="dxa"/>
          <w:shd w:val="clear" w:color="auto" w:fill="FFFFFF"/>
        </w:tcPr>
        <w:p w14:paraId="66B80D7C" w14:textId="77777777" w:rsidR="00855CEB" w:rsidRDefault="00855CEB" w:rsidP="00855CE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3DEA3539" w14:textId="77777777" w:rsidR="00855CEB" w:rsidRDefault="00855CEB" w:rsidP="00855CEB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5D08AA1D" w14:textId="77777777" w:rsidR="00855CEB" w:rsidRDefault="00855CEB" w:rsidP="00855CEB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633BFB">
            <w:rPr>
              <w:sz w:val="20"/>
              <w:szCs w:val="20"/>
            </w:rPr>
            <w:fldChar w:fldCharType="begin"/>
          </w:r>
          <w:r w:rsidRPr="00633BFB">
            <w:rPr>
              <w:sz w:val="20"/>
              <w:szCs w:val="20"/>
            </w:rPr>
            <w:instrText xml:space="preserve"> PAGE   \* MERGEFORMAT </w:instrText>
          </w:r>
          <w:r w:rsidRPr="00633BFB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6</w:t>
          </w:r>
          <w:r w:rsidRPr="00633BFB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A121F20" w14:textId="77777777" w:rsidR="00855CEB" w:rsidRDefault="00855CEB" w:rsidP="00855CEB">
    <w:pPr>
      <w:pStyle w:val="Footer"/>
    </w:pPr>
  </w:p>
  <w:p w14:paraId="6A5B7B40" w14:textId="77777777" w:rsidR="00855CEB" w:rsidRPr="00855CEB" w:rsidRDefault="00855CEB" w:rsidP="00855C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CD246" w14:textId="77777777" w:rsidR="000224AA" w:rsidRDefault="000224AA" w:rsidP="000A5C89">
      <w:r>
        <w:separator/>
      </w:r>
    </w:p>
  </w:footnote>
  <w:footnote w:type="continuationSeparator" w:id="0">
    <w:p w14:paraId="12247E50" w14:textId="77777777" w:rsidR="000224AA" w:rsidRDefault="000224AA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00AF0" w14:textId="77777777" w:rsidR="00005F06" w:rsidRDefault="00005F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5A6DDD2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5023" w:rsidRPr="00CC5023">
      <w:t xml:space="preserve"> </w:t>
    </w:r>
    <w:r w:rsidR="00CC5023" w:rsidRPr="00CC5023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FD0A8" w14:textId="509B274A" w:rsidR="00633BFB" w:rsidRPr="005635A0" w:rsidRDefault="005635A0">
    <w:pPr>
      <w:pStyle w:val="Header"/>
      <w:rPr>
        <w:rFonts w:ascii="Times New Roman" w:hAnsi="Times New Roman"/>
        <w:b/>
        <w:bCs/>
        <w:sz w:val="36"/>
        <w:szCs w:val="36"/>
      </w:rPr>
    </w:pPr>
    <w:r w:rsidRPr="005635A0">
      <w:rPr>
        <w:rFonts w:ascii="Times New Roman" w:hAnsi="Times New Roman"/>
        <w:b/>
        <w:bCs/>
        <w:sz w:val="36"/>
        <w:szCs w:val="36"/>
      </w:rPr>
      <w:t>CHAPTER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6BE"/>
    <w:multiLevelType w:val="multilevel"/>
    <w:tmpl w:val="259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8F2"/>
    <w:multiLevelType w:val="multilevel"/>
    <w:tmpl w:val="5D5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0444D"/>
    <w:multiLevelType w:val="multilevel"/>
    <w:tmpl w:val="DE6E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73CFB"/>
    <w:multiLevelType w:val="multilevel"/>
    <w:tmpl w:val="58B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B11B0"/>
    <w:multiLevelType w:val="multilevel"/>
    <w:tmpl w:val="9B46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D5EB7"/>
    <w:multiLevelType w:val="multilevel"/>
    <w:tmpl w:val="E3F2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11DDE"/>
    <w:multiLevelType w:val="multilevel"/>
    <w:tmpl w:val="E4D2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5570E"/>
    <w:multiLevelType w:val="multilevel"/>
    <w:tmpl w:val="F95C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137D6B"/>
    <w:multiLevelType w:val="multilevel"/>
    <w:tmpl w:val="6D6E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F01C3"/>
    <w:multiLevelType w:val="multilevel"/>
    <w:tmpl w:val="6A3E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9656F"/>
    <w:multiLevelType w:val="multilevel"/>
    <w:tmpl w:val="5BE6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512CE"/>
    <w:multiLevelType w:val="multilevel"/>
    <w:tmpl w:val="2FE6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378184">
    <w:abstractNumId w:val="4"/>
  </w:num>
  <w:num w:numId="2" w16cid:durableId="443230723">
    <w:abstractNumId w:val="9"/>
  </w:num>
  <w:num w:numId="3" w16cid:durableId="93214425">
    <w:abstractNumId w:val="8"/>
  </w:num>
  <w:num w:numId="4" w16cid:durableId="1721399499">
    <w:abstractNumId w:val="1"/>
  </w:num>
  <w:num w:numId="5" w16cid:durableId="1530214861">
    <w:abstractNumId w:val="6"/>
  </w:num>
  <w:num w:numId="6" w16cid:durableId="1332370708">
    <w:abstractNumId w:val="3"/>
  </w:num>
  <w:num w:numId="7" w16cid:durableId="446199168">
    <w:abstractNumId w:val="0"/>
  </w:num>
  <w:num w:numId="8" w16cid:durableId="1168908918">
    <w:abstractNumId w:val="10"/>
  </w:num>
  <w:num w:numId="9" w16cid:durableId="825820592">
    <w:abstractNumId w:val="11"/>
  </w:num>
  <w:num w:numId="10" w16cid:durableId="1977833895">
    <w:abstractNumId w:val="7"/>
  </w:num>
  <w:num w:numId="11" w16cid:durableId="952244160">
    <w:abstractNumId w:val="2"/>
  </w:num>
  <w:num w:numId="12" w16cid:durableId="12193943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05F06"/>
    <w:rsid w:val="000224AA"/>
    <w:rsid w:val="00066D11"/>
    <w:rsid w:val="00093512"/>
    <w:rsid w:val="000A5C89"/>
    <w:rsid w:val="001039FB"/>
    <w:rsid w:val="00155D3B"/>
    <w:rsid w:val="001923ED"/>
    <w:rsid w:val="00193B66"/>
    <w:rsid w:val="00214BF7"/>
    <w:rsid w:val="00250082"/>
    <w:rsid w:val="00270FE4"/>
    <w:rsid w:val="00284350"/>
    <w:rsid w:val="002C13B9"/>
    <w:rsid w:val="003245DE"/>
    <w:rsid w:val="00350A5E"/>
    <w:rsid w:val="003A5877"/>
    <w:rsid w:val="003C23EE"/>
    <w:rsid w:val="00402874"/>
    <w:rsid w:val="00416D23"/>
    <w:rsid w:val="0044284B"/>
    <w:rsid w:val="004824DA"/>
    <w:rsid w:val="0048621F"/>
    <w:rsid w:val="004B0D4D"/>
    <w:rsid w:val="004E346A"/>
    <w:rsid w:val="00503A5F"/>
    <w:rsid w:val="005156E2"/>
    <w:rsid w:val="0053351F"/>
    <w:rsid w:val="00535D0D"/>
    <w:rsid w:val="005635A0"/>
    <w:rsid w:val="005760A4"/>
    <w:rsid w:val="005825FA"/>
    <w:rsid w:val="0058633D"/>
    <w:rsid w:val="005C05FD"/>
    <w:rsid w:val="00617114"/>
    <w:rsid w:val="0062156D"/>
    <w:rsid w:val="006226CD"/>
    <w:rsid w:val="00633BFB"/>
    <w:rsid w:val="006628F3"/>
    <w:rsid w:val="006638F5"/>
    <w:rsid w:val="006740B9"/>
    <w:rsid w:val="006760EB"/>
    <w:rsid w:val="006D2377"/>
    <w:rsid w:val="006F2B3C"/>
    <w:rsid w:val="00701649"/>
    <w:rsid w:val="00725074"/>
    <w:rsid w:val="00744F63"/>
    <w:rsid w:val="007A150D"/>
    <w:rsid w:val="007A4AA3"/>
    <w:rsid w:val="007B74BB"/>
    <w:rsid w:val="00822D26"/>
    <w:rsid w:val="00855CEB"/>
    <w:rsid w:val="009E5278"/>
    <w:rsid w:val="00A56A10"/>
    <w:rsid w:val="00A61DEE"/>
    <w:rsid w:val="00A72E66"/>
    <w:rsid w:val="00AA76E6"/>
    <w:rsid w:val="00AD5C1F"/>
    <w:rsid w:val="00AD7113"/>
    <w:rsid w:val="00B47B08"/>
    <w:rsid w:val="00B50634"/>
    <w:rsid w:val="00B50BFD"/>
    <w:rsid w:val="00B55DF1"/>
    <w:rsid w:val="00B6713D"/>
    <w:rsid w:val="00B80B43"/>
    <w:rsid w:val="00BA1AF8"/>
    <w:rsid w:val="00BD0D0B"/>
    <w:rsid w:val="00BD1C31"/>
    <w:rsid w:val="00C65F77"/>
    <w:rsid w:val="00C760DC"/>
    <w:rsid w:val="00C8427A"/>
    <w:rsid w:val="00CC5023"/>
    <w:rsid w:val="00D95F25"/>
    <w:rsid w:val="00DA4769"/>
    <w:rsid w:val="00DF2B0C"/>
    <w:rsid w:val="00DF5124"/>
    <w:rsid w:val="00E55489"/>
    <w:rsid w:val="00EA7B43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824</Words>
  <Characters>4701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20</cp:revision>
  <dcterms:created xsi:type="dcterms:W3CDTF">2024-03-25T10:08:00Z</dcterms:created>
  <dcterms:modified xsi:type="dcterms:W3CDTF">2025-12-17T03:33:00Z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