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B7BAB" w14:textId="77777777" w:rsidR="00EC5D9E" w:rsidRDefault="00EC5D9E" w:rsidP="00780D7C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36"/>
          <w:szCs w:val="36"/>
        </w:rPr>
      </w:pPr>
      <w:r w:rsidRPr="00EC5D9E">
        <w:rPr>
          <w:rFonts w:ascii="Times New Roman" w:hAnsi="Times New Roman"/>
          <w:b/>
          <w:bCs/>
          <w:sz w:val="36"/>
          <w:szCs w:val="36"/>
        </w:rPr>
        <w:t>RESEARCH / TECHNOLOGY GAPS AND CHALLENGES</w:t>
      </w:r>
    </w:p>
    <w:p w14:paraId="32DE85FD" w14:textId="77777777" w:rsidR="00780D7C" w:rsidRPr="00EC5D9E" w:rsidRDefault="00780D7C" w:rsidP="00780D7C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36"/>
          <w:szCs w:val="36"/>
        </w:rPr>
      </w:pPr>
    </w:p>
    <w:p w14:paraId="43A41674" w14:textId="77777777" w:rsidR="00EC5D9E" w:rsidRPr="00780D7C" w:rsidRDefault="00EC5D9E" w:rsidP="00780D7C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>Despite rapid progress in large language models, several critical gaps limit their reliability—especially when handling knowledge-intensive or safety-sensitive tasks. This project directly addresses these shortcomings, but the broader challenges remain important to highlight.</w:t>
      </w:r>
    </w:p>
    <w:p w14:paraId="08FE36FC" w14:textId="7610F2C2" w:rsidR="00EC5D9E" w:rsidRPr="00EC5D9E" w:rsidRDefault="00EC5D9E" w:rsidP="00780D7C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28"/>
          <w:szCs w:val="28"/>
        </w:rPr>
      </w:pPr>
      <w:r w:rsidRPr="00780D7C">
        <w:rPr>
          <w:rFonts w:ascii="Times New Roman" w:hAnsi="Times New Roman"/>
          <w:b/>
          <w:bCs/>
          <w:sz w:val="32"/>
          <w:szCs w:val="32"/>
        </w:rPr>
        <w:t>4.1. Lack of Pre-Generation Uncertainty Awareness</w:t>
      </w:r>
    </w:p>
    <w:p w14:paraId="0482D653" w14:textId="6804D6A9" w:rsidR="00EC5D9E" w:rsidRPr="00780D7C" w:rsidRDefault="00EC5D9E" w:rsidP="00780D7C">
      <w:pPr>
        <w:tabs>
          <w:tab w:val="left" w:pos="540"/>
        </w:tabs>
        <w:spacing w:line="360" w:lineRule="auto"/>
        <w:ind w:left="540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 xml:space="preserve">Most existing systems detect hallucinations </w:t>
      </w:r>
      <w:r w:rsidRPr="00780D7C">
        <w:rPr>
          <w:rFonts w:ascii="Times New Roman" w:hAnsi="Times New Roman"/>
          <w:i/>
          <w:iCs/>
          <w:sz w:val="24"/>
          <w:szCs w:val="24"/>
        </w:rPr>
        <w:t>after</w:t>
      </w:r>
      <w:r w:rsidRPr="00780D7C">
        <w:rPr>
          <w:rFonts w:ascii="Times New Roman" w:hAnsi="Times New Roman"/>
          <w:sz w:val="24"/>
          <w:szCs w:val="24"/>
        </w:rPr>
        <w:t xml:space="preserve"> the model has already generated an answer. There is no reliable mechanism for an LLM to assess its uncertainty </w:t>
      </w:r>
      <w:r w:rsidRPr="00780D7C">
        <w:rPr>
          <w:rFonts w:ascii="Times New Roman" w:hAnsi="Times New Roman"/>
          <w:b/>
          <w:bCs/>
          <w:sz w:val="24"/>
          <w:szCs w:val="24"/>
        </w:rPr>
        <w:t>before</w:t>
      </w:r>
      <w:r w:rsidRPr="00780D7C">
        <w:rPr>
          <w:rFonts w:ascii="Times New Roman" w:hAnsi="Times New Roman"/>
          <w:sz w:val="24"/>
          <w:szCs w:val="24"/>
        </w:rPr>
        <w:t xml:space="preserve"> responding, leading to confident but incorrect outputs. This absence of proactive evaluation is a major gap in current LLM pipelines.</w:t>
      </w:r>
    </w:p>
    <w:p w14:paraId="2A64ED65" w14:textId="7A0B2870" w:rsidR="00EC5D9E" w:rsidRPr="00EC5D9E" w:rsidRDefault="00EC5D9E" w:rsidP="00780D7C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28"/>
          <w:szCs w:val="28"/>
        </w:rPr>
      </w:pPr>
      <w:r w:rsidRPr="00780D7C">
        <w:rPr>
          <w:rFonts w:ascii="Times New Roman" w:hAnsi="Times New Roman"/>
          <w:b/>
          <w:bCs/>
          <w:sz w:val="32"/>
          <w:szCs w:val="32"/>
        </w:rPr>
        <w:t>4.2.</w:t>
      </w:r>
      <w:r w:rsidRPr="00EC5D9E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780D7C">
        <w:rPr>
          <w:rFonts w:ascii="Times New Roman" w:hAnsi="Times New Roman"/>
          <w:b/>
          <w:bCs/>
          <w:sz w:val="32"/>
          <w:szCs w:val="32"/>
        </w:rPr>
        <w:t>Overreliance on Post-Hoc Corrections</w:t>
      </w:r>
    </w:p>
    <w:p w14:paraId="36EB821E" w14:textId="0F31D782" w:rsidR="00EC5D9E" w:rsidRPr="00780D7C" w:rsidRDefault="00EC5D9E" w:rsidP="00780D7C">
      <w:pPr>
        <w:tabs>
          <w:tab w:val="left" w:pos="540"/>
        </w:tabs>
        <w:spacing w:line="360" w:lineRule="auto"/>
        <w:ind w:left="540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>Techniques such as RAG, self-consistency checks, and output verification are computationally heavy and often too late—they only react after the hallucination has occurred. This creates unnecessary compute costs and fails to prevent misinformation.</w:t>
      </w:r>
    </w:p>
    <w:p w14:paraId="03EB9BBC" w14:textId="46CD5128" w:rsidR="00EC5D9E" w:rsidRPr="00EC5D9E" w:rsidRDefault="00EC5D9E" w:rsidP="00780D7C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28"/>
          <w:szCs w:val="28"/>
        </w:rPr>
      </w:pPr>
      <w:r w:rsidRPr="00780D7C">
        <w:rPr>
          <w:rFonts w:ascii="Times New Roman" w:hAnsi="Times New Roman"/>
          <w:b/>
          <w:bCs/>
          <w:sz w:val="32"/>
          <w:szCs w:val="32"/>
        </w:rPr>
        <w:t>4.3. Limited Use of Internal Model Signals</w:t>
      </w:r>
    </w:p>
    <w:p w14:paraId="3224EF26" w14:textId="05ECE8EF" w:rsidR="00EC5D9E" w:rsidRPr="00780D7C" w:rsidRDefault="00EC5D9E" w:rsidP="00780D7C">
      <w:pPr>
        <w:tabs>
          <w:tab w:val="left" w:pos="540"/>
        </w:tabs>
        <w:spacing w:line="360" w:lineRule="auto"/>
        <w:ind w:left="540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 xml:space="preserve">LLMs generate rich internal activations, but most hallucination-detection approaches barely use them. Important indicators such as semantic alignment drift, unstable layer progression, or inconsistent hidden-state behaviour are </w:t>
      </w:r>
      <w:r w:rsidRPr="00780D7C">
        <w:rPr>
          <w:rFonts w:ascii="Times New Roman" w:hAnsi="Times New Roman"/>
          <w:b/>
          <w:bCs/>
          <w:sz w:val="24"/>
          <w:szCs w:val="24"/>
        </w:rPr>
        <w:t>under-explored</w:t>
      </w:r>
      <w:r w:rsidRPr="00780D7C">
        <w:rPr>
          <w:rFonts w:ascii="Times New Roman" w:hAnsi="Times New Roman"/>
          <w:sz w:val="24"/>
          <w:szCs w:val="24"/>
        </w:rPr>
        <w:t>, leaving a large gap in reliable uncertainty quantification.</w:t>
      </w:r>
    </w:p>
    <w:p w14:paraId="4DF759A0" w14:textId="593E7116" w:rsidR="00EC5D9E" w:rsidRPr="00EC5D9E" w:rsidRDefault="00EC5D9E" w:rsidP="00780D7C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28"/>
          <w:szCs w:val="28"/>
        </w:rPr>
      </w:pPr>
      <w:r w:rsidRPr="00780D7C">
        <w:rPr>
          <w:rFonts w:ascii="Times New Roman" w:hAnsi="Times New Roman"/>
          <w:b/>
          <w:bCs/>
          <w:sz w:val="32"/>
          <w:szCs w:val="32"/>
        </w:rPr>
        <w:t>4.4. Absence of Unified Confidence Scoring</w:t>
      </w:r>
    </w:p>
    <w:p w14:paraId="295432F0" w14:textId="79D1DEC9" w:rsidR="00EC5D9E" w:rsidRPr="00780D7C" w:rsidRDefault="00EC5D9E" w:rsidP="00780D7C">
      <w:pPr>
        <w:tabs>
          <w:tab w:val="left" w:pos="540"/>
        </w:tabs>
        <w:spacing w:line="360" w:lineRule="auto"/>
        <w:ind w:left="540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 xml:space="preserve">Existing uncertainty-estimation techniques tend to rely on a single method—entropy, sampling, embeddings, or external classifiers. None provide a </w:t>
      </w:r>
      <w:r w:rsidRPr="00780D7C">
        <w:rPr>
          <w:rFonts w:ascii="Times New Roman" w:hAnsi="Times New Roman"/>
          <w:b/>
          <w:bCs/>
          <w:sz w:val="24"/>
          <w:szCs w:val="24"/>
        </w:rPr>
        <w:t>combined, multi-signal confidence score</w:t>
      </w:r>
      <w:r w:rsidRPr="00780D7C">
        <w:rPr>
          <w:rFonts w:ascii="Times New Roman" w:hAnsi="Times New Roman"/>
          <w:sz w:val="24"/>
          <w:szCs w:val="24"/>
        </w:rPr>
        <w:t xml:space="preserve"> that captures semantic, structural, and learned aspects of reliability. This lack of integration reduces accuracy and increases false positives.</w:t>
      </w:r>
    </w:p>
    <w:p w14:paraId="51325E41" w14:textId="77777777" w:rsidR="00780D7C" w:rsidRDefault="00780D7C">
      <w:pPr>
        <w:suppressAutoHyphens w:val="0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br w:type="page"/>
      </w:r>
    </w:p>
    <w:p w14:paraId="1E32ED64" w14:textId="4E69F03E" w:rsidR="00EC5D9E" w:rsidRPr="00780D7C" w:rsidRDefault="00EC5D9E" w:rsidP="00780D7C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32"/>
          <w:szCs w:val="32"/>
        </w:rPr>
      </w:pPr>
      <w:r w:rsidRPr="00780D7C">
        <w:rPr>
          <w:rFonts w:ascii="Times New Roman" w:hAnsi="Times New Roman"/>
          <w:b/>
          <w:bCs/>
          <w:sz w:val="32"/>
          <w:szCs w:val="32"/>
        </w:rPr>
        <w:lastRenderedPageBreak/>
        <w:t>4.5. Inefficient Routing of Queries</w:t>
      </w:r>
    </w:p>
    <w:p w14:paraId="36598845" w14:textId="18A811CD" w:rsidR="00EC5D9E" w:rsidRPr="00780D7C" w:rsidRDefault="00EC5D9E" w:rsidP="00780D7C">
      <w:pPr>
        <w:tabs>
          <w:tab w:val="left" w:pos="540"/>
        </w:tabs>
        <w:spacing w:line="360" w:lineRule="auto"/>
        <w:ind w:left="540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 xml:space="preserve">Current LLM systems do not make smart decisions about </w:t>
      </w:r>
      <w:r w:rsidRPr="00780D7C">
        <w:rPr>
          <w:rFonts w:ascii="Times New Roman" w:hAnsi="Times New Roman"/>
          <w:i/>
          <w:iCs/>
          <w:sz w:val="24"/>
          <w:szCs w:val="24"/>
        </w:rPr>
        <w:t>where</w:t>
      </w:r>
      <w:r w:rsidRPr="00780D7C">
        <w:rPr>
          <w:rFonts w:ascii="Times New Roman" w:hAnsi="Times New Roman"/>
          <w:sz w:val="24"/>
          <w:szCs w:val="24"/>
        </w:rPr>
        <w:t xml:space="preserve"> a query should be handled. Heavy models are often used unnecessarily, while low-confidence queries are not escalated properly. A major gap is the absence of </w:t>
      </w:r>
      <w:r w:rsidRPr="00780D7C">
        <w:rPr>
          <w:rFonts w:ascii="Times New Roman" w:hAnsi="Times New Roman"/>
          <w:b/>
          <w:bCs/>
          <w:sz w:val="24"/>
          <w:szCs w:val="24"/>
        </w:rPr>
        <w:t>deterministic routing mechanisms</w:t>
      </w:r>
      <w:r w:rsidRPr="00780D7C">
        <w:rPr>
          <w:rFonts w:ascii="Times New Roman" w:hAnsi="Times New Roman"/>
          <w:sz w:val="24"/>
          <w:szCs w:val="24"/>
        </w:rPr>
        <w:t xml:space="preserve"> tied to confidence estimation.</w:t>
      </w:r>
    </w:p>
    <w:p w14:paraId="23CD95D6" w14:textId="18AD6EC2" w:rsidR="00EC5D9E" w:rsidRPr="00780D7C" w:rsidRDefault="00EC5D9E" w:rsidP="00780D7C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32"/>
          <w:szCs w:val="32"/>
        </w:rPr>
      </w:pPr>
      <w:r w:rsidRPr="00780D7C">
        <w:rPr>
          <w:rFonts w:ascii="Times New Roman" w:hAnsi="Times New Roman"/>
          <w:b/>
          <w:bCs/>
          <w:sz w:val="32"/>
          <w:szCs w:val="32"/>
        </w:rPr>
        <w:t>4.6. Bias and Domain Sensitivity Challenges</w:t>
      </w:r>
    </w:p>
    <w:p w14:paraId="20F9F342" w14:textId="77777777" w:rsidR="00EC5D9E" w:rsidRPr="00780D7C" w:rsidRDefault="00EC5D9E" w:rsidP="00780D7C">
      <w:pPr>
        <w:tabs>
          <w:tab w:val="left" w:pos="540"/>
        </w:tabs>
        <w:spacing w:line="360" w:lineRule="auto"/>
        <w:ind w:left="360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>Embedding-based alignment and internal confidence predictors depend heavily on reference models and training data. This introduces risks such as:</w:t>
      </w:r>
    </w:p>
    <w:p w14:paraId="2FF5ED84" w14:textId="77777777" w:rsidR="00EC5D9E" w:rsidRPr="00780D7C" w:rsidRDefault="00EC5D9E" w:rsidP="00780D7C">
      <w:pPr>
        <w:numPr>
          <w:ilvl w:val="0"/>
          <w:numId w:val="1"/>
        </w:numPr>
        <w:tabs>
          <w:tab w:val="clear" w:pos="720"/>
          <w:tab w:val="left" w:pos="540"/>
          <w:tab w:val="num" w:pos="898"/>
        </w:tabs>
        <w:spacing w:line="360" w:lineRule="auto"/>
        <w:ind w:left="898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>domain-specific inaccuracies</w:t>
      </w:r>
    </w:p>
    <w:p w14:paraId="08A59FD2" w14:textId="77777777" w:rsidR="00EC5D9E" w:rsidRPr="00780D7C" w:rsidRDefault="00EC5D9E" w:rsidP="00780D7C">
      <w:pPr>
        <w:numPr>
          <w:ilvl w:val="0"/>
          <w:numId w:val="1"/>
        </w:numPr>
        <w:tabs>
          <w:tab w:val="clear" w:pos="720"/>
          <w:tab w:val="left" w:pos="540"/>
          <w:tab w:val="num" w:pos="898"/>
        </w:tabs>
        <w:spacing w:line="360" w:lineRule="auto"/>
        <w:ind w:left="898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>biased confidence estimation</w:t>
      </w:r>
    </w:p>
    <w:p w14:paraId="14B1048D" w14:textId="77777777" w:rsidR="00EC5D9E" w:rsidRPr="00780D7C" w:rsidRDefault="00EC5D9E" w:rsidP="00780D7C">
      <w:pPr>
        <w:numPr>
          <w:ilvl w:val="0"/>
          <w:numId w:val="1"/>
        </w:numPr>
        <w:tabs>
          <w:tab w:val="clear" w:pos="720"/>
          <w:tab w:val="left" w:pos="540"/>
          <w:tab w:val="num" w:pos="898"/>
        </w:tabs>
        <w:spacing w:line="360" w:lineRule="auto"/>
        <w:ind w:left="898"/>
        <w:jc w:val="both"/>
        <w:rPr>
          <w:rFonts w:ascii="Times New Roman" w:hAnsi="Times New Roman"/>
          <w:b/>
          <w:bCs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>mis-calibration in unfamiliar contexts</w:t>
      </w:r>
    </w:p>
    <w:p w14:paraId="5158B091" w14:textId="743C9ACF" w:rsidR="00EC5D9E" w:rsidRPr="00EC5D9E" w:rsidRDefault="00EC5D9E" w:rsidP="00780D7C">
      <w:pPr>
        <w:tabs>
          <w:tab w:val="left" w:pos="540"/>
        </w:tabs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EC5D9E">
        <w:rPr>
          <w:rFonts w:ascii="Times New Roman" w:hAnsi="Times New Roman"/>
          <w:b/>
          <w:bCs/>
          <w:sz w:val="28"/>
          <w:szCs w:val="28"/>
        </w:rPr>
        <w:t xml:space="preserve">   </w:t>
      </w:r>
      <w:r w:rsidRPr="00780D7C">
        <w:rPr>
          <w:rFonts w:ascii="Times New Roman" w:hAnsi="Times New Roman"/>
          <w:b/>
          <w:bCs/>
          <w:sz w:val="32"/>
          <w:szCs w:val="32"/>
        </w:rPr>
        <w:t>4.7. Threshold Generalization Issues</w:t>
      </w:r>
    </w:p>
    <w:p w14:paraId="4522E09F" w14:textId="04E828A9" w:rsidR="00EC5D9E" w:rsidRPr="00780D7C" w:rsidRDefault="00EC5D9E" w:rsidP="00780D7C">
      <w:pPr>
        <w:tabs>
          <w:tab w:val="left" w:pos="540"/>
        </w:tabs>
        <w:spacing w:line="360" w:lineRule="auto"/>
        <w:ind w:left="540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>Static confidence thresholds can fail across domains or user contexts. Without adaptive thresholding, routing decisions may become inconsistent or unreliable—especially with varied query types.</w:t>
      </w:r>
    </w:p>
    <w:p w14:paraId="660FFE77" w14:textId="1BCEABE3" w:rsidR="00EC5D9E" w:rsidRPr="00780D7C" w:rsidRDefault="00EC5D9E" w:rsidP="00780D7C">
      <w:pPr>
        <w:tabs>
          <w:tab w:val="left" w:pos="540"/>
        </w:tabs>
        <w:spacing w:line="360" w:lineRule="auto"/>
        <w:ind w:left="182"/>
        <w:jc w:val="both"/>
        <w:rPr>
          <w:rFonts w:ascii="Times New Roman" w:hAnsi="Times New Roman"/>
          <w:b/>
          <w:bCs/>
          <w:sz w:val="32"/>
          <w:szCs w:val="32"/>
        </w:rPr>
      </w:pPr>
      <w:r w:rsidRPr="00780D7C">
        <w:rPr>
          <w:rFonts w:ascii="Times New Roman" w:hAnsi="Times New Roman"/>
          <w:b/>
          <w:bCs/>
          <w:sz w:val="32"/>
          <w:szCs w:val="32"/>
        </w:rPr>
        <w:t>4.8. Limited Evaluation on Larger Models</w:t>
      </w:r>
    </w:p>
    <w:p w14:paraId="0EA1F8BF" w14:textId="77777777" w:rsidR="00EC5D9E" w:rsidRPr="00780D7C" w:rsidRDefault="00EC5D9E" w:rsidP="00780D7C">
      <w:pPr>
        <w:tabs>
          <w:tab w:val="left" w:pos="540"/>
        </w:tabs>
        <w:spacing w:line="360" w:lineRule="auto"/>
        <w:ind w:left="540"/>
        <w:jc w:val="both"/>
        <w:rPr>
          <w:rFonts w:ascii="Times New Roman" w:hAnsi="Times New Roman"/>
          <w:sz w:val="24"/>
          <w:szCs w:val="24"/>
        </w:rPr>
      </w:pPr>
      <w:r w:rsidRPr="00780D7C">
        <w:rPr>
          <w:rFonts w:ascii="Times New Roman" w:hAnsi="Times New Roman"/>
          <w:sz w:val="24"/>
          <w:szCs w:val="24"/>
        </w:rPr>
        <w:t>Much of the experimentation uses relatively small models (e.g., 360M parameters), which may not fully reflect how confidence signals behave at scale. This creates a research gap in validating the approach on larger, real-world LLMs.</w:t>
      </w:r>
    </w:p>
    <w:p w14:paraId="3A11974D" w14:textId="62C7970C" w:rsidR="00F333A1" w:rsidRDefault="00690789" w:rsidP="00780D7C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lastRenderedPageBreak/>
        <w:drawing>
          <wp:inline distT="0" distB="0" distL="0" distR="0" wp14:anchorId="45AEB648" wp14:editId="6DDFDBF3">
            <wp:extent cx="6186805" cy="2773400"/>
            <wp:effectExtent l="0" t="0" r="4445" b="8255"/>
            <wp:docPr id="78708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57" t="2426" r="1184" b="17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9487" cy="2792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050643" w14:textId="33C70315" w:rsidR="00690789" w:rsidRPr="00725074" w:rsidRDefault="00690789" w:rsidP="00690789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Figure 4.1 </w:t>
      </w:r>
      <w:r w:rsidRPr="00690789">
        <w:rPr>
          <w:rFonts w:ascii="Times New Roman" w:hAnsi="Times New Roman"/>
          <w:sz w:val="24"/>
          <w:szCs w:val="24"/>
        </w:rPr>
        <w:t>Conditional Hybrid Confidence System (3-Interval)</w:t>
      </w:r>
    </w:p>
    <w:sectPr w:rsidR="00690789" w:rsidRPr="00725074" w:rsidSect="009315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134" w:right="1134" w:bottom="1134" w:left="1134" w:header="1236" w:footer="1236" w:gutter="0"/>
      <w:pgNumType w:start="10"/>
      <w:cols w:space="720"/>
      <w:formProt w:val="0"/>
      <w:titlePg/>
      <w:docGrid w:linePitch="299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D2159" w14:textId="77777777" w:rsidR="00BB70B9" w:rsidRDefault="00BB70B9" w:rsidP="000A5C89">
      <w:r>
        <w:separator/>
      </w:r>
    </w:p>
  </w:endnote>
  <w:endnote w:type="continuationSeparator" w:id="0">
    <w:p w14:paraId="01D2B21B" w14:textId="77777777" w:rsidR="00BB70B9" w:rsidRDefault="00BB70B9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3BDE6" w14:textId="77777777" w:rsidR="00931505" w:rsidRDefault="0093150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4A97C998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 w:rsidR="0075661C" w:rsidRPr="0075661C">
            <w:rPr>
              <w:sz w:val="20"/>
              <w:szCs w:val="20"/>
            </w:rPr>
            <w:fldChar w:fldCharType="begin"/>
          </w:r>
          <w:r w:rsidR="0075661C" w:rsidRPr="0075661C">
            <w:rPr>
              <w:sz w:val="20"/>
              <w:szCs w:val="20"/>
            </w:rPr>
            <w:instrText xml:space="preserve"> PAGE   \* MERGEFORMAT </w:instrText>
          </w:r>
          <w:r w:rsidR="0075661C" w:rsidRPr="0075661C">
            <w:rPr>
              <w:sz w:val="20"/>
              <w:szCs w:val="20"/>
            </w:rPr>
            <w:fldChar w:fldCharType="separate"/>
          </w:r>
          <w:r w:rsidR="0075661C" w:rsidRPr="0075661C">
            <w:rPr>
              <w:noProof/>
              <w:sz w:val="20"/>
              <w:szCs w:val="20"/>
            </w:rPr>
            <w:t>1</w:t>
          </w:r>
          <w:r w:rsidR="0075661C" w:rsidRPr="0075661C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8DF0F" w14:textId="77777777" w:rsidR="00780D7C" w:rsidRDefault="00780D7C" w:rsidP="00780D7C">
    <w:pPr>
      <w:pStyle w:val="BodyText"/>
      <w:jc w:val="center"/>
    </w:pPr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780D7C" w14:paraId="76533234" w14:textId="77777777" w:rsidTr="0029064E">
      <w:tc>
        <w:tcPr>
          <w:tcW w:w="3253" w:type="dxa"/>
          <w:shd w:val="clear" w:color="auto" w:fill="FFFFFF"/>
        </w:tcPr>
        <w:p w14:paraId="1D822B80" w14:textId="77777777" w:rsidR="00780D7C" w:rsidRDefault="00780D7C" w:rsidP="00780D7C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of CSE(AI&amp;ML)</w:t>
          </w:r>
        </w:p>
      </w:tc>
      <w:tc>
        <w:tcPr>
          <w:tcW w:w="3257" w:type="dxa"/>
          <w:shd w:val="clear" w:color="auto" w:fill="FFFFFF"/>
        </w:tcPr>
        <w:p w14:paraId="25CB9A4E" w14:textId="77777777" w:rsidR="00780D7C" w:rsidRDefault="00780D7C" w:rsidP="00780D7C">
          <w:pPr>
            <w:pStyle w:val="TableContents"/>
            <w:jc w:val="center"/>
          </w:pPr>
          <w:r>
            <w:rPr>
              <w:sz w:val="20"/>
              <w:szCs w:val="20"/>
            </w:rPr>
            <w:t>AUG-DEC, 2025</w:t>
          </w:r>
        </w:p>
      </w:tc>
      <w:tc>
        <w:tcPr>
          <w:tcW w:w="3249" w:type="dxa"/>
          <w:shd w:val="clear" w:color="auto" w:fill="FFFFFF"/>
        </w:tcPr>
        <w:p w14:paraId="0EEB5CC9" w14:textId="77777777" w:rsidR="00780D7C" w:rsidRDefault="00780D7C" w:rsidP="00780D7C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 No.</w:t>
          </w:r>
          <w:r w:rsidRPr="0075661C">
            <w:rPr>
              <w:sz w:val="20"/>
              <w:szCs w:val="20"/>
            </w:rPr>
            <w:fldChar w:fldCharType="begin"/>
          </w:r>
          <w:r w:rsidRPr="0075661C">
            <w:rPr>
              <w:sz w:val="20"/>
              <w:szCs w:val="20"/>
            </w:rPr>
            <w:instrText xml:space="preserve"> PAGE   \* MERGEFORMAT </w:instrText>
          </w:r>
          <w:r w:rsidRPr="0075661C"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10</w:t>
          </w:r>
          <w:r w:rsidRPr="0075661C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</w:t>
          </w:r>
        </w:p>
      </w:tc>
    </w:tr>
  </w:tbl>
  <w:p w14:paraId="64F063A0" w14:textId="77777777" w:rsidR="00780D7C" w:rsidRDefault="00780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75EE8" w14:textId="77777777" w:rsidR="00BB70B9" w:rsidRDefault="00BB70B9" w:rsidP="000A5C89">
      <w:r>
        <w:separator/>
      </w:r>
    </w:p>
  </w:footnote>
  <w:footnote w:type="continuationSeparator" w:id="0">
    <w:p w14:paraId="55F51AE5" w14:textId="77777777" w:rsidR="00BB70B9" w:rsidRDefault="00BB70B9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75FEB" w14:textId="77777777" w:rsidR="00931505" w:rsidRDefault="0093150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7303D9FB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C5D9E" w:rsidRPr="00EC5D9E">
      <w:rPr>
        <w:sz w:val="20"/>
        <w:szCs w:val="20"/>
      </w:rPr>
      <w:t>A Cost-Effective, Proactive Hallucination Routing System for LLMs</w:t>
    </w:r>
    <w:r w:rsidR="004E346A">
      <w:rPr>
        <w:sz w:val="20"/>
        <w:szCs w:val="20"/>
      </w:rPr>
      <w:t xml:space="preserve"> 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51FC8" w14:textId="274FA593" w:rsidR="0075661C" w:rsidRDefault="00780D7C">
    <w:pPr>
      <w:pStyle w:val="Header"/>
      <w:rPr>
        <w:rFonts w:ascii="Times New Roman" w:hAnsi="Times New Roman"/>
        <w:b/>
        <w:bCs/>
        <w:sz w:val="36"/>
        <w:szCs w:val="48"/>
      </w:rPr>
    </w:pPr>
    <w:r w:rsidRPr="00780D7C">
      <w:rPr>
        <w:rFonts w:ascii="Times New Roman" w:hAnsi="Times New Roman"/>
        <w:b/>
        <w:bCs/>
        <w:sz w:val="36"/>
        <w:szCs w:val="48"/>
      </w:rPr>
      <w:t>CHAPTER 4</w:t>
    </w:r>
  </w:p>
  <w:p w14:paraId="07012D50" w14:textId="77777777" w:rsidR="00C04FA4" w:rsidRPr="00780D7C" w:rsidRDefault="00C04FA4">
    <w:pPr>
      <w:pStyle w:val="Header"/>
      <w:rPr>
        <w:rFonts w:ascii="Times New Roman" w:hAnsi="Times New Roman"/>
        <w:b/>
        <w:bCs/>
        <w:sz w:val="36"/>
        <w:szCs w:val="4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F0F6A"/>
    <w:multiLevelType w:val="multilevel"/>
    <w:tmpl w:val="33547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8651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C89"/>
    <w:rsid w:val="000A5CC5"/>
    <w:rsid w:val="00155D3B"/>
    <w:rsid w:val="00193B66"/>
    <w:rsid w:val="00250082"/>
    <w:rsid w:val="00284350"/>
    <w:rsid w:val="002C13B9"/>
    <w:rsid w:val="003245DE"/>
    <w:rsid w:val="00350A5E"/>
    <w:rsid w:val="003C23EE"/>
    <w:rsid w:val="00416D23"/>
    <w:rsid w:val="0044284B"/>
    <w:rsid w:val="004824DA"/>
    <w:rsid w:val="0048621F"/>
    <w:rsid w:val="004E346A"/>
    <w:rsid w:val="00503A5F"/>
    <w:rsid w:val="005156E2"/>
    <w:rsid w:val="00535D0D"/>
    <w:rsid w:val="005760A4"/>
    <w:rsid w:val="005825FA"/>
    <w:rsid w:val="0058633D"/>
    <w:rsid w:val="00617114"/>
    <w:rsid w:val="0062156D"/>
    <w:rsid w:val="006226CD"/>
    <w:rsid w:val="00646300"/>
    <w:rsid w:val="006760EB"/>
    <w:rsid w:val="00690789"/>
    <w:rsid w:val="006D2377"/>
    <w:rsid w:val="006F2B3C"/>
    <w:rsid w:val="00701649"/>
    <w:rsid w:val="007110A7"/>
    <w:rsid w:val="00725074"/>
    <w:rsid w:val="00744F63"/>
    <w:rsid w:val="0075661C"/>
    <w:rsid w:val="00780D7C"/>
    <w:rsid w:val="007A150D"/>
    <w:rsid w:val="007B74BB"/>
    <w:rsid w:val="00822D26"/>
    <w:rsid w:val="00841AB3"/>
    <w:rsid w:val="008A278E"/>
    <w:rsid w:val="00931505"/>
    <w:rsid w:val="009E5278"/>
    <w:rsid w:val="00A95FA7"/>
    <w:rsid w:val="00AD7113"/>
    <w:rsid w:val="00B50BFD"/>
    <w:rsid w:val="00B55DF1"/>
    <w:rsid w:val="00B6713D"/>
    <w:rsid w:val="00B80B43"/>
    <w:rsid w:val="00BA1AF8"/>
    <w:rsid w:val="00BB16C1"/>
    <w:rsid w:val="00BB70B9"/>
    <w:rsid w:val="00BD0D0B"/>
    <w:rsid w:val="00BD1C31"/>
    <w:rsid w:val="00C04FA4"/>
    <w:rsid w:val="00C36380"/>
    <w:rsid w:val="00C760DC"/>
    <w:rsid w:val="00D95F25"/>
    <w:rsid w:val="00DF2B0C"/>
    <w:rsid w:val="00DF5124"/>
    <w:rsid w:val="00EC5D9E"/>
    <w:rsid w:val="00ED094A"/>
    <w:rsid w:val="00EE5C89"/>
    <w:rsid w:val="00F333A1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link w:val="BodyTextChar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link w:val="FooterChar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  <w:style w:type="character" w:customStyle="1" w:styleId="BodyTextChar">
    <w:name w:val="Body Text Char"/>
    <w:basedOn w:val="DefaultParagraphFont"/>
    <w:link w:val="BodyText"/>
    <w:rsid w:val="00780D7C"/>
    <w:rPr>
      <w:color w:val="00000A"/>
      <w:sz w:val="22"/>
    </w:rPr>
  </w:style>
  <w:style w:type="character" w:customStyle="1" w:styleId="FooterChar">
    <w:name w:val="Footer Char"/>
    <w:basedOn w:val="DefaultParagraphFont"/>
    <w:link w:val="Footer"/>
    <w:rsid w:val="00780D7C"/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426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16</cp:revision>
  <dcterms:created xsi:type="dcterms:W3CDTF">2024-03-25T10:08:00Z</dcterms:created>
  <dcterms:modified xsi:type="dcterms:W3CDTF">2025-12-17T03:33:00Z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