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B7BAB" w14:textId="77777777" w:rsidR="00EC5D9E" w:rsidRPr="00EC5D9E" w:rsidRDefault="00EC5D9E" w:rsidP="00EC5D9E">
      <w:pPr>
        <w:tabs>
          <w:tab w:val="left" w:pos="540"/>
        </w:tabs>
        <w:spacing w:line="360" w:lineRule="auto"/>
        <w:ind w:left="182"/>
        <w:jc w:val="center"/>
        <w:rPr>
          <w:rFonts w:ascii="Times New Roman" w:hAnsi="Times New Roman"/>
          <w:b/>
          <w:bCs/>
          <w:sz w:val="36"/>
          <w:szCs w:val="36"/>
        </w:rPr>
      </w:pPr>
      <w:r w:rsidRPr="00EC5D9E">
        <w:rPr>
          <w:rFonts w:ascii="Times New Roman" w:hAnsi="Times New Roman"/>
          <w:b/>
          <w:bCs/>
          <w:sz w:val="36"/>
          <w:szCs w:val="36"/>
        </w:rPr>
        <w:t>RESEARCH / TECHNOLOGY GAPS AND CHALLENGES</w:t>
      </w:r>
    </w:p>
    <w:p w14:paraId="43A41674" w14:textId="77777777" w:rsidR="00EC5D9E" w:rsidRPr="00EC5D9E" w:rsidRDefault="00EC5D9E" w:rsidP="00EC5D9E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8"/>
          <w:szCs w:val="28"/>
        </w:rPr>
      </w:pPr>
      <w:r w:rsidRPr="00EC5D9E">
        <w:rPr>
          <w:rFonts w:ascii="Times New Roman" w:hAnsi="Times New Roman"/>
          <w:sz w:val="28"/>
          <w:szCs w:val="28"/>
        </w:rPr>
        <w:t>Despite rapid progress in large language models, several critical gaps limit their reliability—especially when handling knowledge-intensive or safety-sensitive tasks. This project directly addresses these shortcomings, but the broader challenges remain important to highlight.</w:t>
      </w:r>
    </w:p>
    <w:p w14:paraId="08FE36FC" w14:textId="7610F2C2" w:rsidR="00EC5D9E" w:rsidRPr="00EC5D9E" w:rsidRDefault="00EC5D9E" w:rsidP="00EC5D9E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b/>
          <w:bCs/>
          <w:sz w:val="28"/>
          <w:szCs w:val="28"/>
        </w:rPr>
      </w:pPr>
      <w:r w:rsidRPr="00EC5D9E">
        <w:rPr>
          <w:rFonts w:ascii="Times New Roman" w:hAnsi="Times New Roman"/>
          <w:b/>
          <w:bCs/>
          <w:sz w:val="28"/>
          <w:szCs w:val="28"/>
        </w:rPr>
        <w:t>4.1. Lack of Pre-Generation Uncertainty Awareness</w:t>
      </w:r>
    </w:p>
    <w:p w14:paraId="0482D653" w14:textId="6804D6A9" w:rsidR="00EC5D9E" w:rsidRPr="00EC5D9E" w:rsidRDefault="00EC5D9E" w:rsidP="00EC5D9E">
      <w:pPr>
        <w:tabs>
          <w:tab w:val="left" w:pos="540"/>
        </w:tabs>
        <w:spacing w:line="360" w:lineRule="auto"/>
        <w:ind w:left="540"/>
        <w:rPr>
          <w:rFonts w:ascii="Times New Roman" w:hAnsi="Times New Roman"/>
          <w:sz w:val="28"/>
          <w:szCs w:val="28"/>
        </w:rPr>
      </w:pPr>
      <w:r w:rsidRPr="00EC5D9E">
        <w:rPr>
          <w:rFonts w:ascii="Times New Roman" w:hAnsi="Times New Roman"/>
          <w:sz w:val="28"/>
          <w:szCs w:val="28"/>
        </w:rPr>
        <w:t xml:space="preserve">Most existing systems detect hallucinations </w:t>
      </w:r>
      <w:r w:rsidRPr="00EC5D9E">
        <w:rPr>
          <w:rFonts w:ascii="Times New Roman" w:hAnsi="Times New Roman"/>
          <w:i/>
          <w:iCs/>
          <w:sz w:val="28"/>
          <w:szCs w:val="28"/>
        </w:rPr>
        <w:t>after</w:t>
      </w:r>
      <w:r w:rsidRPr="00EC5D9E">
        <w:rPr>
          <w:rFonts w:ascii="Times New Roman" w:hAnsi="Times New Roman"/>
          <w:sz w:val="28"/>
          <w:szCs w:val="28"/>
        </w:rPr>
        <w:t xml:space="preserve"> the model has already generated an answer. There is no reliable mechanism for an LLM to assess its uncertainty </w:t>
      </w:r>
      <w:r w:rsidRPr="00EC5D9E">
        <w:rPr>
          <w:rFonts w:ascii="Times New Roman" w:hAnsi="Times New Roman"/>
          <w:b/>
          <w:bCs/>
          <w:sz w:val="28"/>
          <w:szCs w:val="28"/>
        </w:rPr>
        <w:t>before</w:t>
      </w:r>
      <w:r w:rsidRPr="00EC5D9E">
        <w:rPr>
          <w:rFonts w:ascii="Times New Roman" w:hAnsi="Times New Roman"/>
          <w:sz w:val="28"/>
          <w:szCs w:val="28"/>
        </w:rPr>
        <w:t xml:space="preserve"> responding, leading to confident but incorrect outputs. This absence of proactive evaluation is a major gap in current LLM pipelines.</w:t>
      </w:r>
    </w:p>
    <w:p w14:paraId="2A64ED65" w14:textId="7A0B2870" w:rsidR="00EC5D9E" w:rsidRPr="00EC5D9E" w:rsidRDefault="00EC5D9E" w:rsidP="00EC5D9E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b/>
          <w:bCs/>
          <w:sz w:val="28"/>
          <w:szCs w:val="28"/>
        </w:rPr>
      </w:pPr>
      <w:r w:rsidRPr="00EC5D9E">
        <w:rPr>
          <w:rFonts w:ascii="Times New Roman" w:hAnsi="Times New Roman"/>
          <w:b/>
          <w:bCs/>
          <w:sz w:val="28"/>
          <w:szCs w:val="28"/>
        </w:rPr>
        <w:t>4.2. Overreliance on Post-Hoc Corrections</w:t>
      </w:r>
    </w:p>
    <w:p w14:paraId="36EB821E" w14:textId="0F31D782" w:rsidR="00EC5D9E" w:rsidRPr="00EC5D9E" w:rsidRDefault="00EC5D9E" w:rsidP="00EC5D9E">
      <w:pPr>
        <w:tabs>
          <w:tab w:val="left" w:pos="540"/>
        </w:tabs>
        <w:spacing w:line="360" w:lineRule="auto"/>
        <w:ind w:left="540"/>
        <w:rPr>
          <w:rFonts w:ascii="Times New Roman" w:hAnsi="Times New Roman"/>
          <w:sz w:val="28"/>
          <w:szCs w:val="28"/>
        </w:rPr>
      </w:pPr>
      <w:r w:rsidRPr="00EC5D9E">
        <w:rPr>
          <w:rFonts w:ascii="Times New Roman" w:hAnsi="Times New Roman"/>
          <w:sz w:val="28"/>
          <w:szCs w:val="28"/>
        </w:rPr>
        <w:t>Techniques such as RAG, self-consistency checks, and output verification are computationally heavy and often too late—they only react after the hallucination has occurred. This creates unnecessary compute costs and fails to prevent misinformation.</w:t>
      </w:r>
    </w:p>
    <w:p w14:paraId="03EB9BBC" w14:textId="46CD5128" w:rsidR="00EC5D9E" w:rsidRPr="00EC5D9E" w:rsidRDefault="00EC5D9E" w:rsidP="00EC5D9E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b/>
          <w:bCs/>
          <w:sz w:val="28"/>
          <w:szCs w:val="28"/>
        </w:rPr>
      </w:pPr>
      <w:r w:rsidRPr="00EC5D9E">
        <w:rPr>
          <w:rFonts w:ascii="Times New Roman" w:hAnsi="Times New Roman"/>
          <w:b/>
          <w:bCs/>
          <w:sz w:val="28"/>
          <w:szCs w:val="28"/>
        </w:rPr>
        <w:t>4.3. Limited Use of Internal Model Signals</w:t>
      </w:r>
    </w:p>
    <w:p w14:paraId="3224EF26" w14:textId="05ECE8EF" w:rsidR="00EC5D9E" w:rsidRPr="00EC5D9E" w:rsidRDefault="00EC5D9E" w:rsidP="00EC5D9E">
      <w:pPr>
        <w:tabs>
          <w:tab w:val="left" w:pos="540"/>
        </w:tabs>
        <w:spacing w:line="360" w:lineRule="auto"/>
        <w:ind w:left="540"/>
        <w:rPr>
          <w:rFonts w:ascii="Times New Roman" w:hAnsi="Times New Roman"/>
          <w:sz w:val="28"/>
          <w:szCs w:val="28"/>
        </w:rPr>
      </w:pPr>
      <w:r w:rsidRPr="00EC5D9E">
        <w:rPr>
          <w:rFonts w:ascii="Times New Roman" w:hAnsi="Times New Roman"/>
          <w:sz w:val="28"/>
          <w:szCs w:val="28"/>
        </w:rPr>
        <w:t xml:space="preserve">LLMs generate rich internal activations, but most hallucination-detection approaches barely use them. Important indicators such as semantic alignment drift, unstable layer progression, or inconsistent hidden-state behaviour are </w:t>
      </w:r>
      <w:r w:rsidRPr="00EC5D9E">
        <w:rPr>
          <w:rFonts w:ascii="Times New Roman" w:hAnsi="Times New Roman"/>
          <w:b/>
          <w:bCs/>
          <w:sz w:val="28"/>
          <w:szCs w:val="28"/>
        </w:rPr>
        <w:t>under-explored</w:t>
      </w:r>
      <w:r w:rsidRPr="00EC5D9E">
        <w:rPr>
          <w:rFonts w:ascii="Times New Roman" w:hAnsi="Times New Roman"/>
          <w:sz w:val="28"/>
          <w:szCs w:val="28"/>
        </w:rPr>
        <w:t>, leaving a large gap in reliable uncertainty quantification.</w:t>
      </w:r>
    </w:p>
    <w:p w14:paraId="4DF759A0" w14:textId="593E7116" w:rsidR="00EC5D9E" w:rsidRPr="00EC5D9E" w:rsidRDefault="00EC5D9E" w:rsidP="00EC5D9E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b/>
          <w:bCs/>
          <w:sz w:val="28"/>
          <w:szCs w:val="28"/>
        </w:rPr>
      </w:pPr>
      <w:r w:rsidRPr="00EC5D9E">
        <w:rPr>
          <w:rFonts w:ascii="Times New Roman" w:hAnsi="Times New Roman"/>
          <w:b/>
          <w:bCs/>
          <w:sz w:val="28"/>
          <w:szCs w:val="28"/>
        </w:rPr>
        <w:t>4.4. Absence of Unified Confidence Scoring</w:t>
      </w:r>
    </w:p>
    <w:p w14:paraId="295432F0" w14:textId="79D1DEC9" w:rsidR="00EC5D9E" w:rsidRPr="00EC5D9E" w:rsidRDefault="00EC5D9E" w:rsidP="00EC5D9E">
      <w:pPr>
        <w:tabs>
          <w:tab w:val="left" w:pos="540"/>
        </w:tabs>
        <w:spacing w:line="360" w:lineRule="auto"/>
        <w:ind w:left="540"/>
        <w:rPr>
          <w:rFonts w:ascii="Times New Roman" w:hAnsi="Times New Roman"/>
          <w:sz w:val="28"/>
          <w:szCs w:val="28"/>
        </w:rPr>
      </w:pPr>
      <w:r w:rsidRPr="00EC5D9E">
        <w:rPr>
          <w:rFonts w:ascii="Times New Roman" w:hAnsi="Times New Roman"/>
          <w:sz w:val="28"/>
          <w:szCs w:val="28"/>
        </w:rPr>
        <w:t xml:space="preserve">Existing uncertainty-estimation techniques tend to rely on a single method—entropy, sampling, embeddings, or external classifiers. None provide a </w:t>
      </w:r>
      <w:r w:rsidRPr="00EC5D9E">
        <w:rPr>
          <w:rFonts w:ascii="Times New Roman" w:hAnsi="Times New Roman"/>
          <w:b/>
          <w:bCs/>
          <w:sz w:val="28"/>
          <w:szCs w:val="28"/>
        </w:rPr>
        <w:t>combined, multi-signal confidence score</w:t>
      </w:r>
      <w:r w:rsidRPr="00EC5D9E">
        <w:rPr>
          <w:rFonts w:ascii="Times New Roman" w:hAnsi="Times New Roman"/>
          <w:sz w:val="28"/>
          <w:szCs w:val="28"/>
        </w:rPr>
        <w:t xml:space="preserve"> that captures semantic, structural, and learned </w:t>
      </w:r>
      <w:r w:rsidRPr="00EC5D9E">
        <w:rPr>
          <w:rFonts w:ascii="Times New Roman" w:hAnsi="Times New Roman"/>
          <w:sz w:val="28"/>
          <w:szCs w:val="28"/>
        </w:rPr>
        <w:lastRenderedPageBreak/>
        <w:t>aspects of reliability. This lack of integration reduces accuracy and increases false positives.</w:t>
      </w:r>
    </w:p>
    <w:p w14:paraId="1E32ED64" w14:textId="5196F48E" w:rsidR="00EC5D9E" w:rsidRPr="00EC5D9E" w:rsidRDefault="00EC5D9E" w:rsidP="00EC5D9E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b/>
          <w:bCs/>
          <w:sz w:val="28"/>
          <w:szCs w:val="28"/>
        </w:rPr>
      </w:pPr>
      <w:r w:rsidRPr="00EC5D9E">
        <w:rPr>
          <w:rFonts w:ascii="Times New Roman" w:hAnsi="Times New Roman"/>
          <w:b/>
          <w:bCs/>
          <w:sz w:val="28"/>
          <w:szCs w:val="28"/>
        </w:rPr>
        <w:t>4.5. Inefficient Routing of Queries</w:t>
      </w:r>
    </w:p>
    <w:p w14:paraId="36598845" w14:textId="18A811CD" w:rsidR="00EC5D9E" w:rsidRPr="00EC5D9E" w:rsidRDefault="00EC5D9E" w:rsidP="00EC5D9E">
      <w:pPr>
        <w:tabs>
          <w:tab w:val="left" w:pos="540"/>
        </w:tabs>
        <w:spacing w:line="360" w:lineRule="auto"/>
        <w:ind w:left="540"/>
        <w:rPr>
          <w:rFonts w:ascii="Times New Roman" w:hAnsi="Times New Roman"/>
          <w:sz w:val="28"/>
          <w:szCs w:val="28"/>
        </w:rPr>
      </w:pPr>
      <w:r w:rsidRPr="00EC5D9E">
        <w:rPr>
          <w:rFonts w:ascii="Times New Roman" w:hAnsi="Times New Roman"/>
          <w:sz w:val="28"/>
          <w:szCs w:val="28"/>
        </w:rPr>
        <w:t xml:space="preserve">Current LLM systems do not make smart decisions about </w:t>
      </w:r>
      <w:r w:rsidRPr="00EC5D9E">
        <w:rPr>
          <w:rFonts w:ascii="Times New Roman" w:hAnsi="Times New Roman"/>
          <w:i/>
          <w:iCs/>
          <w:sz w:val="28"/>
          <w:szCs w:val="28"/>
        </w:rPr>
        <w:t>where</w:t>
      </w:r>
      <w:r w:rsidRPr="00EC5D9E">
        <w:rPr>
          <w:rFonts w:ascii="Times New Roman" w:hAnsi="Times New Roman"/>
          <w:sz w:val="28"/>
          <w:szCs w:val="28"/>
        </w:rPr>
        <w:t xml:space="preserve"> a query should be handled. Heavy models are often used unnecessarily, while low-confidence queries are not escalated properly. A major gap is the absence of </w:t>
      </w:r>
      <w:r w:rsidRPr="00EC5D9E">
        <w:rPr>
          <w:rFonts w:ascii="Times New Roman" w:hAnsi="Times New Roman"/>
          <w:b/>
          <w:bCs/>
          <w:sz w:val="28"/>
          <w:szCs w:val="28"/>
        </w:rPr>
        <w:t>deterministic routing mechanisms</w:t>
      </w:r>
      <w:r w:rsidRPr="00EC5D9E">
        <w:rPr>
          <w:rFonts w:ascii="Times New Roman" w:hAnsi="Times New Roman"/>
          <w:sz w:val="28"/>
          <w:szCs w:val="28"/>
        </w:rPr>
        <w:t xml:space="preserve"> tied to confidence estimation.</w:t>
      </w:r>
    </w:p>
    <w:p w14:paraId="23CD95D6" w14:textId="18AD6EC2" w:rsidR="00EC5D9E" w:rsidRPr="00EC5D9E" w:rsidRDefault="00EC5D9E" w:rsidP="00EC5D9E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b/>
          <w:bCs/>
          <w:sz w:val="28"/>
          <w:szCs w:val="28"/>
        </w:rPr>
      </w:pPr>
      <w:r w:rsidRPr="00EC5D9E">
        <w:rPr>
          <w:rFonts w:ascii="Times New Roman" w:hAnsi="Times New Roman"/>
          <w:b/>
          <w:bCs/>
          <w:sz w:val="28"/>
          <w:szCs w:val="28"/>
        </w:rPr>
        <w:t>4.6. Bias and Domain Sensitivity Challenges</w:t>
      </w:r>
    </w:p>
    <w:p w14:paraId="20F9F342" w14:textId="77777777" w:rsidR="00EC5D9E" w:rsidRPr="00EC5D9E" w:rsidRDefault="00EC5D9E" w:rsidP="00EC5D9E">
      <w:pPr>
        <w:tabs>
          <w:tab w:val="left" w:pos="540"/>
        </w:tabs>
        <w:spacing w:line="360" w:lineRule="auto"/>
        <w:ind w:left="360"/>
        <w:rPr>
          <w:rFonts w:ascii="Times New Roman" w:hAnsi="Times New Roman"/>
          <w:sz w:val="28"/>
          <w:szCs w:val="28"/>
        </w:rPr>
      </w:pPr>
      <w:r w:rsidRPr="00EC5D9E">
        <w:rPr>
          <w:rFonts w:ascii="Times New Roman" w:hAnsi="Times New Roman"/>
          <w:sz w:val="28"/>
          <w:szCs w:val="28"/>
        </w:rPr>
        <w:t>Embedding-based alignment and internal confidence predictors depend heavily on reference models and training data. This introduces risks such as:</w:t>
      </w:r>
    </w:p>
    <w:p w14:paraId="2FF5ED84" w14:textId="77777777" w:rsidR="00EC5D9E" w:rsidRPr="00EC5D9E" w:rsidRDefault="00EC5D9E" w:rsidP="00EC5D9E">
      <w:pPr>
        <w:numPr>
          <w:ilvl w:val="0"/>
          <w:numId w:val="1"/>
        </w:numPr>
        <w:tabs>
          <w:tab w:val="clear" w:pos="720"/>
          <w:tab w:val="left" w:pos="540"/>
          <w:tab w:val="num" w:pos="898"/>
        </w:tabs>
        <w:spacing w:line="360" w:lineRule="auto"/>
        <w:ind w:left="898"/>
        <w:rPr>
          <w:rFonts w:ascii="Times New Roman" w:hAnsi="Times New Roman"/>
          <w:sz w:val="28"/>
          <w:szCs w:val="28"/>
        </w:rPr>
      </w:pPr>
      <w:r w:rsidRPr="00EC5D9E">
        <w:rPr>
          <w:rFonts w:ascii="Times New Roman" w:hAnsi="Times New Roman"/>
          <w:sz w:val="28"/>
          <w:szCs w:val="28"/>
        </w:rPr>
        <w:t>domain-specific inaccuracies</w:t>
      </w:r>
    </w:p>
    <w:p w14:paraId="08A59FD2" w14:textId="77777777" w:rsidR="00EC5D9E" w:rsidRPr="00EC5D9E" w:rsidRDefault="00EC5D9E" w:rsidP="00EC5D9E">
      <w:pPr>
        <w:numPr>
          <w:ilvl w:val="0"/>
          <w:numId w:val="1"/>
        </w:numPr>
        <w:tabs>
          <w:tab w:val="clear" w:pos="720"/>
          <w:tab w:val="left" w:pos="540"/>
          <w:tab w:val="num" w:pos="898"/>
        </w:tabs>
        <w:spacing w:line="360" w:lineRule="auto"/>
        <w:ind w:left="898"/>
        <w:rPr>
          <w:rFonts w:ascii="Times New Roman" w:hAnsi="Times New Roman"/>
          <w:sz w:val="28"/>
          <w:szCs w:val="28"/>
        </w:rPr>
      </w:pPr>
      <w:r w:rsidRPr="00EC5D9E">
        <w:rPr>
          <w:rFonts w:ascii="Times New Roman" w:hAnsi="Times New Roman"/>
          <w:sz w:val="28"/>
          <w:szCs w:val="28"/>
        </w:rPr>
        <w:t>biased confidence estimation</w:t>
      </w:r>
    </w:p>
    <w:p w14:paraId="14B1048D" w14:textId="77777777" w:rsidR="00EC5D9E" w:rsidRPr="00EC5D9E" w:rsidRDefault="00EC5D9E" w:rsidP="00EC5D9E">
      <w:pPr>
        <w:numPr>
          <w:ilvl w:val="0"/>
          <w:numId w:val="1"/>
        </w:numPr>
        <w:tabs>
          <w:tab w:val="clear" w:pos="720"/>
          <w:tab w:val="left" w:pos="540"/>
          <w:tab w:val="num" w:pos="898"/>
        </w:tabs>
        <w:spacing w:line="360" w:lineRule="auto"/>
        <w:ind w:left="898"/>
        <w:rPr>
          <w:rFonts w:ascii="Times New Roman" w:hAnsi="Times New Roman"/>
          <w:b/>
          <w:bCs/>
          <w:sz w:val="28"/>
          <w:szCs w:val="28"/>
        </w:rPr>
      </w:pPr>
      <w:r w:rsidRPr="00EC5D9E">
        <w:rPr>
          <w:rFonts w:ascii="Times New Roman" w:hAnsi="Times New Roman"/>
          <w:sz w:val="28"/>
          <w:szCs w:val="28"/>
        </w:rPr>
        <w:t>mis-calibration in unfamiliar contexts</w:t>
      </w:r>
    </w:p>
    <w:p w14:paraId="5158B091" w14:textId="743C9ACF" w:rsidR="00EC5D9E" w:rsidRPr="00EC5D9E" w:rsidRDefault="00EC5D9E" w:rsidP="00EC5D9E">
      <w:pPr>
        <w:tabs>
          <w:tab w:val="left" w:pos="540"/>
        </w:tabs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EC5D9E">
        <w:rPr>
          <w:rFonts w:ascii="Times New Roman" w:hAnsi="Times New Roman"/>
          <w:b/>
          <w:bCs/>
          <w:sz w:val="28"/>
          <w:szCs w:val="28"/>
        </w:rPr>
        <w:t xml:space="preserve">   4.7. Threshold Generalization Issues</w:t>
      </w:r>
    </w:p>
    <w:p w14:paraId="4522E09F" w14:textId="04E828A9" w:rsidR="00EC5D9E" w:rsidRPr="00EC5D9E" w:rsidRDefault="00EC5D9E" w:rsidP="00EC5D9E">
      <w:pPr>
        <w:tabs>
          <w:tab w:val="left" w:pos="540"/>
        </w:tabs>
        <w:spacing w:line="360" w:lineRule="auto"/>
        <w:ind w:left="540"/>
        <w:rPr>
          <w:rFonts w:ascii="Times New Roman" w:hAnsi="Times New Roman"/>
          <w:sz w:val="28"/>
          <w:szCs w:val="28"/>
        </w:rPr>
      </w:pPr>
      <w:r w:rsidRPr="00EC5D9E">
        <w:rPr>
          <w:rFonts w:ascii="Times New Roman" w:hAnsi="Times New Roman"/>
          <w:sz w:val="28"/>
          <w:szCs w:val="28"/>
        </w:rPr>
        <w:t>Static confidence thresholds can fail across domains or user contexts. Without adaptive thresholding, routing decisions may become inconsistent or unreliable—especially with varied query types.</w:t>
      </w:r>
    </w:p>
    <w:p w14:paraId="660FFE77" w14:textId="1BCEABE3" w:rsidR="00EC5D9E" w:rsidRPr="00EC5D9E" w:rsidRDefault="00EC5D9E" w:rsidP="00EC5D9E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b/>
          <w:bCs/>
          <w:sz w:val="28"/>
          <w:szCs w:val="28"/>
        </w:rPr>
      </w:pPr>
      <w:r w:rsidRPr="00EC5D9E">
        <w:rPr>
          <w:rFonts w:ascii="Times New Roman" w:hAnsi="Times New Roman"/>
          <w:b/>
          <w:bCs/>
          <w:sz w:val="28"/>
          <w:szCs w:val="28"/>
        </w:rPr>
        <w:t>4.8. Limited Evaluation on Larger Models</w:t>
      </w:r>
    </w:p>
    <w:p w14:paraId="0EA1F8BF" w14:textId="77777777" w:rsidR="00EC5D9E" w:rsidRPr="00EC5D9E" w:rsidRDefault="00EC5D9E" w:rsidP="00EC5D9E">
      <w:pPr>
        <w:tabs>
          <w:tab w:val="left" w:pos="540"/>
        </w:tabs>
        <w:spacing w:line="360" w:lineRule="auto"/>
        <w:ind w:left="540"/>
        <w:rPr>
          <w:rFonts w:ascii="Times New Roman" w:hAnsi="Times New Roman"/>
          <w:sz w:val="28"/>
          <w:szCs w:val="28"/>
        </w:rPr>
      </w:pPr>
      <w:r w:rsidRPr="00EC5D9E">
        <w:rPr>
          <w:rFonts w:ascii="Times New Roman" w:hAnsi="Times New Roman"/>
          <w:sz w:val="28"/>
          <w:szCs w:val="28"/>
        </w:rPr>
        <w:t>Much of the experimentation uses relatively small models (e.g., 360M parameters), which may not fully reflect how confidence signals behave at scale. This creates a research gap in validating the approach on larger, real-world LLMs.</w:t>
      </w:r>
    </w:p>
    <w:p w14:paraId="3A11974D" w14:textId="77777777" w:rsidR="00F333A1" w:rsidRPr="00725074" w:rsidRDefault="00F333A1" w:rsidP="00EC5D9E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4"/>
          <w:szCs w:val="24"/>
        </w:rPr>
      </w:pPr>
    </w:p>
    <w:sectPr w:rsidR="00F333A1" w:rsidRPr="00725074" w:rsidSect="0075661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000" w:right="1234" w:bottom="2110" w:left="1234" w:header="1234" w:footer="1234" w:gutter="0"/>
      <w:pgNumType w:start="9"/>
      <w:cols w:space="720"/>
      <w:formProt w:val="0"/>
      <w:docGrid w:linePitch="24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2F311" w14:textId="77777777" w:rsidR="000A5CC5" w:rsidRDefault="000A5CC5" w:rsidP="000A5C89">
      <w:r>
        <w:separator/>
      </w:r>
    </w:p>
  </w:endnote>
  <w:endnote w:type="continuationSeparator" w:id="0">
    <w:p w14:paraId="3DEE494C" w14:textId="77777777" w:rsidR="000A5CC5" w:rsidRDefault="000A5CC5" w:rsidP="000A5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auto"/>
    <w:pitch w:val="default"/>
  </w:font>
  <w:font w:name="Droid Sans Fallback">
    <w:altName w:val="Times New Roman"/>
    <w:charset w:val="00"/>
    <w:family w:val="roman"/>
    <w:pitch w:val="default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FreeSans">
    <w:altName w:val="Cambria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DA594" w14:textId="77777777" w:rsidR="0075661C" w:rsidRDefault="007566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E3F2E" w14:textId="77777777" w:rsidR="000A5C89" w:rsidRDefault="004E346A">
    <w:pPr>
      <w:pStyle w:val="BodyText"/>
      <w:jc w:val="center"/>
    </w:pPr>
    <w:bookmarkStart w:id="0" w:name="__DdeLink__17_960363662"/>
    <w:bookmarkEnd w:id="0"/>
    <w:r>
      <w:t>_____________________________________________________________________________________</w:t>
    </w:r>
  </w:p>
  <w:tbl>
    <w:tblPr>
      <w:tblW w:w="9759" w:type="dxa"/>
      <w:tblInd w:w="55" w:type="dxa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3253"/>
      <w:gridCol w:w="3257"/>
      <w:gridCol w:w="3249"/>
    </w:tblGrid>
    <w:tr w:rsidR="000A5C89" w14:paraId="54DD6EE9" w14:textId="77777777">
      <w:tc>
        <w:tcPr>
          <w:tcW w:w="3253" w:type="dxa"/>
          <w:shd w:val="clear" w:color="auto" w:fill="FFFFFF"/>
        </w:tcPr>
        <w:p w14:paraId="41BA854D" w14:textId="7B94511C" w:rsidR="000A5C89" w:rsidRDefault="0044284B">
          <w:pPr>
            <w:pStyle w:val="TableContents"/>
            <w:rPr>
              <w:sz w:val="20"/>
              <w:szCs w:val="20"/>
            </w:rPr>
          </w:pPr>
          <w:r>
            <w:rPr>
              <w:sz w:val="20"/>
              <w:szCs w:val="20"/>
            </w:rPr>
            <w:t>Dept. o</w:t>
          </w:r>
          <w:r w:rsidR="004E346A">
            <w:rPr>
              <w:sz w:val="20"/>
              <w:szCs w:val="20"/>
            </w:rPr>
            <w:t>f CSE</w:t>
          </w:r>
          <w:r w:rsidR="00D95F25">
            <w:rPr>
              <w:sz w:val="20"/>
              <w:szCs w:val="20"/>
            </w:rPr>
            <w:t>(AI&amp;ML)</w:t>
          </w:r>
        </w:p>
      </w:tc>
      <w:tc>
        <w:tcPr>
          <w:tcW w:w="3257" w:type="dxa"/>
          <w:shd w:val="clear" w:color="auto" w:fill="FFFFFF"/>
        </w:tcPr>
        <w:p w14:paraId="2B98C0A7" w14:textId="2741589A" w:rsidR="000A5C89" w:rsidRDefault="00B50BFD">
          <w:pPr>
            <w:pStyle w:val="TableContents"/>
            <w:jc w:val="center"/>
          </w:pPr>
          <w:r>
            <w:rPr>
              <w:sz w:val="20"/>
              <w:szCs w:val="20"/>
            </w:rPr>
            <w:t>AUG-DEC</w:t>
          </w:r>
          <w:r w:rsidR="009E5278">
            <w:rPr>
              <w:sz w:val="20"/>
              <w:szCs w:val="20"/>
            </w:rPr>
            <w:t>, 202</w:t>
          </w:r>
          <w:r w:rsidR="00193B66">
            <w:rPr>
              <w:sz w:val="20"/>
              <w:szCs w:val="20"/>
            </w:rPr>
            <w:t>5</w:t>
          </w:r>
        </w:p>
      </w:tc>
      <w:tc>
        <w:tcPr>
          <w:tcW w:w="3249" w:type="dxa"/>
          <w:shd w:val="clear" w:color="auto" w:fill="FFFFFF"/>
        </w:tcPr>
        <w:p w14:paraId="1E238CCE" w14:textId="4A97C998" w:rsidR="000A5C89" w:rsidRDefault="004E346A">
          <w:pPr>
            <w:pStyle w:val="TableContents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Page</w:t>
          </w:r>
          <w:r w:rsidR="0062156D">
            <w:rPr>
              <w:sz w:val="20"/>
              <w:szCs w:val="20"/>
            </w:rPr>
            <w:t xml:space="preserve"> No.</w:t>
          </w:r>
          <w:r w:rsidR="0075661C" w:rsidRPr="0075661C">
            <w:rPr>
              <w:sz w:val="20"/>
              <w:szCs w:val="20"/>
            </w:rPr>
            <w:fldChar w:fldCharType="begin"/>
          </w:r>
          <w:r w:rsidR="0075661C" w:rsidRPr="0075661C">
            <w:rPr>
              <w:sz w:val="20"/>
              <w:szCs w:val="20"/>
            </w:rPr>
            <w:instrText xml:space="preserve"> PAGE   \* MERGEFORMAT </w:instrText>
          </w:r>
          <w:r w:rsidR="0075661C" w:rsidRPr="0075661C">
            <w:rPr>
              <w:sz w:val="20"/>
              <w:szCs w:val="20"/>
            </w:rPr>
            <w:fldChar w:fldCharType="separate"/>
          </w:r>
          <w:r w:rsidR="0075661C" w:rsidRPr="0075661C">
            <w:rPr>
              <w:noProof/>
              <w:sz w:val="20"/>
              <w:szCs w:val="20"/>
            </w:rPr>
            <w:t>1</w:t>
          </w:r>
          <w:r w:rsidR="0075661C" w:rsidRPr="0075661C">
            <w:rPr>
              <w:noProof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 </w:t>
          </w:r>
        </w:p>
      </w:tc>
    </w:tr>
  </w:tbl>
  <w:p w14:paraId="4DF4C3B3" w14:textId="77777777" w:rsidR="000A5C89" w:rsidRDefault="000A5C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DD330" w14:textId="77777777" w:rsidR="0075661C" w:rsidRDefault="007566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0747B" w14:textId="77777777" w:rsidR="000A5CC5" w:rsidRDefault="000A5CC5" w:rsidP="000A5C89">
      <w:r>
        <w:separator/>
      </w:r>
    </w:p>
  </w:footnote>
  <w:footnote w:type="continuationSeparator" w:id="0">
    <w:p w14:paraId="7A2886E0" w14:textId="77777777" w:rsidR="000A5CC5" w:rsidRDefault="000A5CC5" w:rsidP="000A5C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B846E" w14:textId="77777777" w:rsidR="0075661C" w:rsidRDefault="007566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927EE" w14:textId="7303D9FB" w:rsidR="000A5C89" w:rsidRDefault="002C13B9">
    <w:pPr>
      <w:pStyle w:val="Header"/>
      <w:rPr>
        <w:sz w:val="20"/>
        <w:szCs w:val="20"/>
      </w:rPr>
    </w:pPr>
    <w:r>
      <w:rPr>
        <w:noProof/>
        <w:sz w:val="24"/>
        <w:szCs w:val="24"/>
        <w:lang w:eastAsia="en-IN" w:bidi="ar-SA"/>
      </w:rPr>
      <w:drawing>
        <wp:anchor distT="0" distB="0" distL="114935" distR="114935" simplePos="0" relativeHeight="251659264" behindDoc="1" locked="0" layoutInCell="1" allowOverlap="1" wp14:anchorId="16A587A6" wp14:editId="6F5A5452">
          <wp:simplePos x="0" y="0"/>
          <wp:positionH relativeFrom="column">
            <wp:posOffset>4976837</wp:posOffset>
          </wp:positionH>
          <wp:positionV relativeFrom="paragraph">
            <wp:posOffset>-262645</wp:posOffset>
          </wp:positionV>
          <wp:extent cx="1043621" cy="436099"/>
          <wp:effectExtent l="0" t="0" r="4445" b="2540"/>
          <wp:wrapNone/>
          <wp:docPr id="1" name="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43621" cy="4360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C5D9E" w:rsidRPr="00EC5D9E">
      <w:rPr>
        <w:sz w:val="20"/>
        <w:szCs w:val="20"/>
      </w:rPr>
      <w:t>A Cost-Effective, Proactive Hallucination Routing System for LLMs</w:t>
    </w:r>
    <w:r w:rsidR="004E346A">
      <w:rPr>
        <w:sz w:val="20"/>
        <w:szCs w:val="20"/>
      </w:rPr>
      <w:t xml:space="preserve"> </w:t>
    </w:r>
  </w:p>
  <w:p w14:paraId="445DB418" w14:textId="77777777" w:rsidR="000A5C89" w:rsidRDefault="004E346A">
    <w:pPr>
      <w:pStyle w:val="BodyText"/>
      <w:jc w:val="center"/>
    </w:pPr>
    <w:r>
      <w:t>_____________________________________________________________________________________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51FC8" w14:textId="77777777" w:rsidR="0075661C" w:rsidRDefault="007566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F0F6A"/>
    <w:multiLevelType w:val="multilevel"/>
    <w:tmpl w:val="3354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651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C89"/>
    <w:rsid w:val="00066D11"/>
    <w:rsid w:val="000A5C89"/>
    <w:rsid w:val="000A5CC5"/>
    <w:rsid w:val="00155D3B"/>
    <w:rsid w:val="00193B66"/>
    <w:rsid w:val="00250082"/>
    <w:rsid w:val="00284350"/>
    <w:rsid w:val="002C13B9"/>
    <w:rsid w:val="003245DE"/>
    <w:rsid w:val="00350A5E"/>
    <w:rsid w:val="003C23EE"/>
    <w:rsid w:val="00416D23"/>
    <w:rsid w:val="0044284B"/>
    <w:rsid w:val="004824DA"/>
    <w:rsid w:val="0048621F"/>
    <w:rsid w:val="004E346A"/>
    <w:rsid w:val="00503A5F"/>
    <w:rsid w:val="005156E2"/>
    <w:rsid w:val="00535D0D"/>
    <w:rsid w:val="005760A4"/>
    <w:rsid w:val="005825FA"/>
    <w:rsid w:val="0058633D"/>
    <w:rsid w:val="00617114"/>
    <w:rsid w:val="0062156D"/>
    <w:rsid w:val="006226CD"/>
    <w:rsid w:val="006760EB"/>
    <w:rsid w:val="006D2377"/>
    <w:rsid w:val="006F2B3C"/>
    <w:rsid w:val="00701649"/>
    <w:rsid w:val="007110A7"/>
    <w:rsid w:val="00725074"/>
    <w:rsid w:val="00744F63"/>
    <w:rsid w:val="0075661C"/>
    <w:rsid w:val="007A150D"/>
    <w:rsid w:val="007B74BB"/>
    <w:rsid w:val="00822D26"/>
    <w:rsid w:val="009E5278"/>
    <w:rsid w:val="00A95FA7"/>
    <w:rsid w:val="00AD7113"/>
    <w:rsid w:val="00B50BFD"/>
    <w:rsid w:val="00B55DF1"/>
    <w:rsid w:val="00B6713D"/>
    <w:rsid w:val="00B80B43"/>
    <w:rsid w:val="00BA1AF8"/>
    <w:rsid w:val="00BD0D0B"/>
    <w:rsid w:val="00BD1C31"/>
    <w:rsid w:val="00C760DC"/>
    <w:rsid w:val="00D95F25"/>
    <w:rsid w:val="00DF2B0C"/>
    <w:rsid w:val="00DF5124"/>
    <w:rsid w:val="00EC5D9E"/>
    <w:rsid w:val="00ED094A"/>
    <w:rsid w:val="00EE5C89"/>
    <w:rsid w:val="00F333A1"/>
    <w:rsid w:val="00F947B4"/>
    <w:rsid w:val="00FB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9C8937"/>
  <w15:docId w15:val="{4415820C-5219-47D0-95A2-26F715617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Times New Roman"/>
        <w:szCs w:val="22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C89"/>
    <w:pPr>
      <w:suppressAutoHyphens/>
    </w:pPr>
    <w:rPr>
      <w:color w:val="00000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sid w:val="000A5C89"/>
    <w:rPr>
      <w:rFonts w:ascii="OpenSymbol" w:eastAsia="OpenSymbol" w:hAnsi="OpenSymbol" w:cs="OpenSymbol"/>
    </w:rPr>
  </w:style>
  <w:style w:type="character" w:customStyle="1" w:styleId="ListLabel1">
    <w:name w:val="ListLabel 1"/>
    <w:qFormat/>
    <w:rsid w:val="000A5C89"/>
    <w:rPr>
      <w:rFonts w:cs="Symbol"/>
    </w:rPr>
  </w:style>
  <w:style w:type="character" w:customStyle="1" w:styleId="ListLabel2">
    <w:name w:val="ListLabel 2"/>
    <w:qFormat/>
    <w:rsid w:val="000A5C89"/>
    <w:rPr>
      <w:rFonts w:cs="OpenSymbol"/>
    </w:rPr>
  </w:style>
  <w:style w:type="paragraph" w:customStyle="1" w:styleId="Heading">
    <w:name w:val="Heading"/>
    <w:basedOn w:val="Normal"/>
    <w:next w:val="BodyText"/>
    <w:qFormat/>
    <w:rsid w:val="000A5C89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styleId="BodyText">
    <w:name w:val="Body Text"/>
    <w:basedOn w:val="Normal"/>
    <w:rsid w:val="000A5C89"/>
    <w:pPr>
      <w:spacing w:after="140" w:line="288" w:lineRule="auto"/>
    </w:pPr>
  </w:style>
  <w:style w:type="paragraph" w:styleId="List">
    <w:name w:val="List"/>
    <w:basedOn w:val="BodyText"/>
    <w:rsid w:val="000A5C89"/>
    <w:rPr>
      <w:rFonts w:cs="FreeSans"/>
    </w:rPr>
  </w:style>
  <w:style w:type="paragraph" w:styleId="Caption">
    <w:name w:val="caption"/>
    <w:basedOn w:val="Normal"/>
    <w:qFormat/>
    <w:rsid w:val="000A5C89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0A5C89"/>
    <w:pPr>
      <w:suppressLineNumbers/>
    </w:pPr>
    <w:rPr>
      <w:rFonts w:cs="FreeSans"/>
    </w:rPr>
  </w:style>
  <w:style w:type="paragraph" w:customStyle="1" w:styleId="TableContents">
    <w:name w:val="Table Contents"/>
    <w:basedOn w:val="Normal"/>
    <w:qFormat/>
    <w:rsid w:val="000A5C89"/>
  </w:style>
  <w:style w:type="paragraph" w:customStyle="1" w:styleId="TableHeading">
    <w:name w:val="Table Heading"/>
    <w:basedOn w:val="TableContents"/>
    <w:qFormat/>
    <w:rsid w:val="000A5C89"/>
  </w:style>
  <w:style w:type="paragraph" w:styleId="Header">
    <w:name w:val="header"/>
    <w:basedOn w:val="Normal"/>
    <w:rsid w:val="000A5C89"/>
  </w:style>
  <w:style w:type="paragraph" w:styleId="Footer">
    <w:name w:val="footer"/>
    <w:basedOn w:val="Normal"/>
    <w:rsid w:val="000A5C89"/>
  </w:style>
  <w:style w:type="paragraph" w:customStyle="1" w:styleId="Standard">
    <w:name w:val="Standard"/>
    <w:rsid w:val="006F2B3C"/>
    <w:pPr>
      <w:suppressAutoHyphens/>
      <w:autoSpaceDN w:val="0"/>
      <w:textAlignment w:val="baseline"/>
    </w:pPr>
    <w:rPr>
      <w:color w:val="00000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cp:lastModifiedBy>sreephaneesh kanugovi</cp:lastModifiedBy>
  <cp:revision>12</cp:revision>
  <dcterms:created xsi:type="dcterms:W3CDTF">2024-03-25T10:08:00Z</dcterms:created>
  <dcterms:modified xsi:type="dcterms:W3CDTF">2025-12-15T14:07:00Z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26a94d754709295bcd36b99bd920c1b0120df3a338f91d5809082a0f4db56a78</vt:lpwstr>
  </property>
</Properties>
</file>