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160"/>
        <w:jc w:val="center"/>
      </w:pPr>
      <w:r>
        <w:rPr>
          <w:rFonts w:ascii="Calibri" w:hAnsi="Calibri"/>
          <w:b/>
          <w:color w:val="0F172A"/>
          <w:sz w:val="60"/>
        </w:rPr>
        <w:t>SMARTSORTER</w:t>
      </w:r>
    </w:p>
    <w:p>
      <w:pPr>
        <w:spacing w:after="560"/>
        <w:jc w:val="center"/>
      </w:pPr>
      <w:r>
        <w:rPr>
          <w:rFonts w:ascii="Calibri" w:hAnsi="Calibri"/>
          <w:i/>
          <w:color w:val="475569"/>
          <w:sz w:val="26"/>
        </w:rPr>
        <w:t>An Intelligent Multimodal Data Categorization, Secure SaaS Workspace, and Creator Governance Platform</w:t>
      </w:r>
    </w:p>
    <w:p>
      <w:pPr>
        <w:spacing w:after="1400"/>
        <w:jc w:val="center"/>
      </w:pPr>
      <w:r>
        <w:rPr>
          <w:rFonts w:ascii="Calibri" w:hAnsi="Calibri"/>
          <w:b/>
          <w:color w:val="D97706"/>
          <w:sz w:val="30"/>
        </w:rPr>
        <w:t>PROJECT SYNOPSIS REPORT</w:t>
      </w:r>
    </w:p>
    <w:tbl>
      <w:tblPr>
        <w:tblW w:type="auto" w:w="0"/>
        <w:jc w:val="center"/>
        <w:tblLook w:firstColumn="1" w:firstRow="1" w:lastColumn="0" w:lastRow="0" w:noHBand="0" w:noVBand="1" w:val="04A0"/>
      </w:tblPr>
      <w:tblGrid>
        <w:gridCol w:w="4680"/>
        <w:gridCol w:w="4680"/>
      </w:tblGrid>
      <w:tr>
        <w:tc>
          <w:tcPr>
            <w:tcW w:type="dxa" w:w="4680"/>
          </w:tcPr>
          <w:p>
            <w:pPr>
              <w:spacing w:line="288" w:lineRule="auto"/>
            </w:pPr>
            <w:r>
              <w:rPr>
                <w:b/>
              </w:rPr>
              <w:t>SUBMITTED BY:</w:t>
              <w:br/>
            </w:r>
            <w:r>
              <w:t>Sreeranga V</w:t>
              <w:br/>
              <w:t>Suhaas R Naik</w:t>
              <w:br/>
              <w:t>Sudhanva M Rao</w:t>
              <w:br/>
              <w:t>Sri Ram B G</w:t>
              <w:br/>
              <w:br/>
              <w:t>Department of Computer Science &amp; Engineering</w:t>
            </w:r>
          </w:p>
        </w:tc>
        <w:tc>
          <w:tcPr>
            <w:tcW w:type="dxa" w:w="4680"/>
          </w:tcPr>
          <w:p>
            <w:pPr>
              <w:spacing w:line="288" w:lineRule="auto"/>
            </w:pPr>
            <w:r>
              <w:rPr>
                <w:b/>
              </w:rPr>
              <w:t>SUBMITTED TO:</w:t>
              <w:br/>
            </w:r>
            <w:r>
              <w:t>Dr. Ajay B N</w:t>
              <w:br/>
              <w:br/>
              <w:t>Department of Computer Science &amp; Engineering</w:t>
              <w:br/>
              <w:t>Academic Year 2026 - 2027</w:t>
            </w:r>
          </w:p>
        </w:tc>
      </w:tr>
    </w:tbl>
    <w:p>
      <w:r>
        <w:br w:type="page"/>
      </w:r>
    </w:p>
    <w:p>
      <w:pPr>
        <w:pStyle w:val="Heading1"/>
        <w:spacing w:before="240" w:after="80"/>
      </w:pPr>
      <w:r>
        <w:rPr>
          <w:rFonts w:ascii="Calibri" w:hAnsi="Calibri"/>
          <w:color w:val="0F172A"/>
        </w:rPr>
        <w:t>1. Executive Summary &amp; Introduction</w:t>
      </w:r>
    </w:p>
    <w:p>
      <w:pPr>
        <w:pStyle w:val="Heading2"/>
        <w:spacing w:before="240" w:after="80"/>
      </w:pPr>
      <w:r>
        <w:rPr>
          <w:rFonts w:ascii="Calibri" w:hAnsi="Calibri"/>
          <w:color w:val="0F172A"/>
        </w:rPr>
        <w:t>1.1 Abstract</w:t>
      </w:r>
    </w:p>
    <w:p>
      <w:pPr>
        <w:spacing w:after="120" w:line="276" w:lineRule="auto"/>
      </w:pPr>
      <w:r>
        <w:rPr>
          <w:rFonts w:ascii="Calibri" w:hAnsi="Calibri"/>
          <w:color w:val="334155"/>
          <w:sz w:val="22"/>
        </w:rPr>
        <w:t>SmartSorter is an intelligent, privacy-first Software-as-a-Service (SaaS) document engineering platform designed to eliminate organizational overhead associated with unstructured digital assets. By orchestrating multimodal Large Language Model (LLM) intelligence using Google Gemini with an asynchronous, high-throughput FastAPI backend and an interactive React frontend, SmartSorter automatically classifies, tracks, and manages disparate file types. The architecture establishes strict multi-tenancy isolation alongside an exclusive Creator-Admin oversight model that guarantees verifiable audit logging, row-level lifecycle persistence, and telemetry monitoring.</w:t>
      </w:r>
    </w:p>
    <w:p>
      <w:pPr>
        <w:pStyle w:val="Heading2"/>
        <w:spacing w:before="240" w:after="80"/>
      </w:pPr>
      <w:r>
        <w:rPr>
          <w:rFonts w:ascii="Calibri" w:hAnsi="Calibri"/>
          <w:color w:val="0F172A"/>
        </w:rPr>
        <w:t>1.2 Problem Statement</w:t>
      </w:r>
    </w:p>
    <w:p>
      <w:pPr>
        <w:spacing w:after="120" w:line="276" w:lineRule="auto"/>
      </w:pPr>
      <w:r>
        <w:rPr>
          <w:rFonts w:ascii="Calibri" w:hAnsi="Calibri"/>
          <w:color w:val="334155"/>
          <w:sz w:val="22"/>
        </w:rPr>
        <w:t>Modern users and organizations accumulate unorganized digital content across formats—including technical PDFs, source code snippets, office documents, multimedia assets, and lecture materials. Traditional storage services rely on manual folder creation and sorting, which is labor-intensive and error-prone. Existing cloud solutions often lack localized data governance, robust verifiable audit tracking, and granular file lifecycle management that preserves sorting histories after deletion.</w:t>
      </w:r>
    </w:p>
    <w:p>
      <w:pPr>
        <w:pStyle w:val="Heading2"/>
        <w:spacing w:before="240" w:after="80"/>
      </w:pPr>
      <w:r>
        <w:rPr>
          <w:rFonts w:ascii="Calibri" w:hAnsi="Calibri"/>
          <w:color w:val="0F172A"/>
        </w:rPr>
        <w:t>1.3 Project Objectives</w:t>
      </w:r>
    </w:p>
    <w:p>
      <w:pPr>
        <w:spacing w:after="120" w:line="276" w:lineRule="auto"/>
      </w:pPr>
      <w:r>
        <w:rPr>
          <w:rFonts w:ascii="Calibri" w:hAnsi="Calibri"/>
          <w:b/>
          <w:color w:val="0F172A"/>
          <w:sz w:val="22"/>
        </w:rPr>
        <w:t xml:space="preserve">• Zero-Friction Classification: </w:t>
      </w:r>
      <w:r>
        <w:rPr>
          <w:rFonts w:ascii="Calibri" w:hAnsi="Calibri"/>
          <w:color w:val="334155"/>
          <w:sz w:val="22"/>
        </w:rPr>
        <w:t>Automate document understanding using Gemini Flash multimodal analysis.</w:t>
      </w:r>
    </w:p>
    <w:p>
      <w:pPr>
        <w:spacing w:after="120" w:line="276" w:lineRule="auto"/>
      </w:pPr>
      <w:r>
        <w:rPr>
          <w:rFonts w:ascii="Calibri" w:hAnsi="Calibri"/>
          <w:b/>
          <w:color w:val="0F172A"/>
          <w:sz w:val="22"/>
        </w:rPr>
        <w:t xml:space="preserve">• Role-Based Creator Governance: </w:t>
      </w:r>
      <w:r>
        <w:rPr>
          <w:rFonts w:ascii="Calibri" w:hAnsi="Calibri"/>
          <w:color w:val="334155"/>
          <w:sz w:val="22"/>
        </w:rPr>
        <w:t>Strict partition between member workspaces and the creator portal (noragamiarota@gmail.com).</w:t>
      </w:r>
    </w:p>
    <w:p>
      <w:pPr>
        <w:spacing w:after="120" w:line="276" w:lineRule="auto"/>
      </w:pPr>
      <w:r>
        <w:rPr>
          <w:rFonts w:ascii="Calibri" w:hAnsi="Calibri"/>
          <w:b/>
          <w:color w:val="0F172A"/>
          <w:sz w:val="22"/>
        </w:rPr>
        <w:t xml:space="preserve">• Granular File Lifecycle: </w:t>
      </w:r>
      <w:r>
        <w:rPr>
          <w:rFonts w:ascii="Calibri" w:hAnsi="Calibri"/>
          <w:color w:val="334155"/>
          <w:sz w:val="22"/>
        </w:rPr>
        <w:t>Soft-delete, restore, and permanent purge operations with database referential integrity.</w:t>
      </w:r>
    </w:p>
    <w:p>
      <w:pPr>
        <w:spacing w:after="120" w:line="276" w:lineRule="auto"/>
      </w:pPr>
      <w:r>
        <w:rPr>
          <w:rFonts w:ascii="Calibri" w:hAnsi="Calibri"/>
          <w:b/>
          <w:color w:val="0F172A"/>
          <w:sz w:val="22"/>
        </w:rPr>
        <w:t xml:space="preserve">• Tamper-Evident Auditing: </w:t>
      </w:r>
      <w:r>
        <w:rPr>
          <w:rFonts w:ascii="Calibri" w:hAnsi="Calibri"/>
          <w:color w:val="334155"/>
          <w:sz w:val="22"/>
        </w:rPr>
        <w:t>Persistent system interaction logs recording logins, classifications, and system actions.</w:t>
      </w:r>
    </w:p>
    <w:p>
      <w:pPr>
        <w:spacing w:after="120" w:line="276" w:lineRule="auto"/>
      </w:pPr>
      <w:r>
        <w:rPr>
          <w:rFonts w:ascii="Calibri" w:hAnsi="Calibri"/>
          <w:b/>
          <w:color w:val="0F172A"/>
          <w:sz w:val="22"/>
        </w:rPr>
        <w:t xml:space="preserve">• Ergonomic Dashboards: </w:t>
      </w:r>
      <w:r>
        <w:rPr>
          <w:rFonts w:ascii="Calibri" w:hAnsi="Calibri"/>
          <w:color w:val="334155"/>
          <w:sz w:val="22"/>
        </w:rPr>
        <w:t>Responsive, low-latency UI delivering single-line localized timestamp telemetry.</w:t>
      </w:r>
    </w:p>
    <w:p>
      <w:r>
        <w:br w:type="page"/>
      </w:r>
    </w:p>
    <w:p>
      <w:pPr>
        <w:pStyle w:val="Heading1"/>
        <w:spacing w:before="240" w:after="80"/>
      </w:pPr>
      <w:r>
        <w:rPr>
          <w:rFonts w:ascii="Calibri" w:hAnsi="Calibri"/>
          <w:color w:val="0F172A"/>
        </w:rPr>
        <w:t>2. System Architecture &amp; Technical Methodology</w:t>
      </w:r>
    </w:p>
    <w:p>
      <w:pPr>
        <w:spacing w:after="120" w:line="276" w:lineRule="auto"/>
      </w:pPr>
      <w:r>
        <w:rPr>
          <w:rFonts w:ascii="Calibri" w:hAnsi="Calibri"/>
          <w:color w:val="334155"/>
          <w:sz w:val="22"/>
        </w:rPr>
        <w:t>The SmartSorter platform uses a decoupled three-tier architectural paradigm optimized for asynchronous execution, responsive UX, and transactional reliability.</w:t>
      </w:r>
    </w:p>
    <w:p>
      <w:pPr>
        <w:pStyle w:val="Heading2"/>
        <w:spacing w:before="240" w:after="80"/>
      </w:pPr>
      <w:r>
        <w:rPr>
          <w:rFonts w:ascii="Calibri" w:hAnsi="Calibri"/>
          <w:color w:val="0F172A"/>
        </w:rPr>
        <w:t>2.1 Architectural Diagram &amp; Flow</w:t>
      </w:r>
    </w:p>
    <w:p>
      <w:pPr>
        <w:spacing w:after="120" w:line="276" w:lineRule="auto"/>
      </w:pPr>
      <w:r>
        <w:rPr>
          <w:rFonts w:ascii="Calibri" w:hAnsi="Calibri"/>
          <w:color w:val="334155"/>
          <w:sz w:val="22"/>
        </w:rPr>
        <w:t>1. Presentation Tier (Frontend): Built with React 18, Vite, and Tailwind CSS. Provides client-side routing, protected administration portals, real-time metrics dashboards, and responsive upload dropzones.</w:t>
      </w:r>
    </w:p>
    <w:p>
      <w:pPr>
        <w:spacing w:after="120" w:line="276" w:lineRule="auto"/>
      </w:pPr>
      <w:r>
        <w:rPr>
          <w:rFonts w:ascii="Calibri" w:hAnsi="Calibri"/>
          <w:color w:val="334155"/>
          <w:sz w:val="22"/>
        </w:rPr>
        <w:t>2. Application Tier (Backend): Implemented with Python and FastAPI, supported by Uvicorn ASGI workers. Exposes RESTful endpoints, handles multipart streaming uploads, validates schemas via Pydantic, and generates automated OpenAPI/Swagger documentation.</w:t>
      </w:r>
    </w:p>
    <w:p>
      <w:pPr>
        <w:spacing w:after="120" w:line="276" w:lineRule="auto"/>
      </w:pPr>
      <w:r>
        <w:rPr>
          <w:rFonts w:ascii="Calibri" w:hAnsi="Calibri"/>
          <w:color w:val="334155"/>
          <w:sz w:val="22"/>
        </w:rPr>
        <w:t>3. Cognitive Processing Engine: Integrates the Google GenAI SDK (Gemini Flash). Analyzes file syntax, context, and semantic payloads to return dynamic taxonomic categories.</w:t>
      </w:r>
    </w:p>
    <w:p>
      <w:pPr>
        <w:spacing w:after="120" w:line="276" w:lineRule="auto"/>
      </w:pPr>
      <w:r>
        <w:rPr>
          <w:rFonts w:ascii="Calibri" w:hAnsi="Calibri"/>
          <w:color w:val="334155"/>
          <w:sz w:val="22"/>
        </w:rPr>
        <w:t>4. Persistence Tier (Database &amp; Disk): Uses SQLite with Write-Ahead Logging (WAL) enabled, paired with localized filesystem isolation under organized directory hierarchies.</w:t>
      </w:r>
    </w:p>
    <w:p>
      <w:pPr>
        <w:pStyle w:val="Heading2"/>
        <w:spacing w:before="240" w:after="80"/>
      </w:pPr>
      <w:r>
        <w:rPr>
          <w:rFonts w:ascii="Calibri" w:hAnsi="Calibri"/>
          <w:color w:val="0F172A"/>
        </w:rPr>
        <w:t>2.2 Technology Stack</w:t>
      </w:r>
    </w:p>
    <w:tbl>
      <w:tblPr>
        <w:tblW w:type="auto" w:w="0"/>
        <w:jc w:val="center"/>
        <w:tblLook w:firstColumn="1" w:firstRow="1" w:lastColumn="0" w:lastRow="0" w:noHBand="0" w:noVBand="1" w:val="04A0"/>
      </w:tblPr>
      <w:tblGrid>
        <w:gridCol w:w="3120"/>
        <w:gridCol w:w="3120"/>
        <w:gridCol w:w="3120"/>
      </w:tblGrid>
      <w:tr>
        <w:tc>
          <w:tcPr>
            <w:tcW w:type="dxa" w:w="3120"/>
          </w:tcPr>
          <w:p>
            <w:r>
              <w:rPr>
                <w:b/>
              </w:rPr>
              <w:t>Component</w:t>
            </w:r>
          </w:p>
        </w:tc>
        <w:tc>
          <w:tcPr>
            <w:tcW w:type="dxa" w:w="3120"/>
          </w:tcPr>
          <w:p>
            <w:r>
              <w:rPr>
                <w:b/>
              </w:rPr>
              <w:t>Technology</w:t>
            </w:r>
          </w:p>
        </w:tc>
        <w:tc>
          <w:tcPr>
            <w:tcW w:type="dxa" w:w="3120"/>
          </w:tcPr>
          <w:p>
            <w:r>
              <w:rPr>
                <w:b/>
              </w:rPr>
              <w:t>Role &amp; Justification</w:t>
            </w:r>
          </w:p>
        </w:tc>
      </w:tr>
      <w:tr>
        <w:tc>
          <w:tcPr>
            <w:tcW w:type="dxa" w:w="3120"/>
          </w:tcPr>
          <w:p>
            <w:r>
              <w:t>Frontend Client</w:t>
            </w:r>
          </w:p>
        </w:tc>
        <w:tc>
          <w:tcPr>
            <w:tcW w:type="dxa" w:w="3120"/>
          </w:tcPr>
          <w:p>
            <w:r>
              <w:t>React 18 + Vite + Tailwind CSS</w:t>
            </w:r>
          </w:p>
        </w:tc>
        <w:tc>
          <w:tcPr>
            <w:tcW w:type="dxa" w:w="3120"/>
          </w:tcPr>
          <w:p>
            <w:r>
              <w:t>High-performance SPA with atomic utility styling and Lucide UI components.</w:t>
            </w:r>
          </w:p>
        </w:tc>
      </w:tr>
      <w:tr>
        <w:tc>
          <w:tcPr>
            <w:tcW w:type="dxa" w:w="3120"/>
          </w:tcPr>
          <w:p>
            <w:r>
              <w:t>Backend REST API</w:t>
            </w:r>
          </w:p>
        </w:tc>
        <w:tc>
          <w:tcPr>
            <w:tcW w:type="dxa" w:w="3120"/>
          </w:tcPr>
          <w:p>
            <w:r>
              <w:t>FastAPI (Python 3.11+)</w:t>
            </w:r>
          </w:p>
        </w:tc>
        <w:tc>
          <w:tcPr>
            <w:tcW w:type="dxa" w:w="3120"/>
          </w:tcPr>
          <w:p>
            <w:r>
              <w:t>Asynchronous, non-blocking REST framework with automatic OpenAPI generation.</w:t>
            </w:r>
          </w:p>
        </w:tc>
      </w:tr>
      <w:tr>
        <w:tc>
          <w:tcPr>
            <w:tcW w:type="dxa" w:w="3120"/>
          </w:tcPr>
          <w:p>
            <w:r>
              <w:t>AI Engine</w:t>
            </w:r>
          </w:p>
        </w:tc>
        <w:tc>
          <w:tcPr>
            <w:tcW w:type="dxa" w:w="3120"/>
          </w:tcPr>
          <w:p>
            <w:r>
              <w:t>Google Gemini Flash</w:t>
            </w:r>
          </w:p>
        </w:tc>
        <w:tc>
          <w:tcPr>
            <w:tcW w:type="dxa" w:w="3120"/>
          </w:tcPr>
          <w:p>
            <w:r>
              <w:t>Multimodal document tokenization, taxonomy categorization, and semantic inference.</w:t>
            </w:r>
          </w:p>
        </w:tc>
      </w:tr>
      <w:tr>
        <w:tc>
          <w:tcPr>
            <w:tcW w:type="dxa" w:w="3120"/>
          </w:tcPr>
          <w:p>
            <w:r>
              <w:t>Database Engine</w:t>
            </w:r>
          </w:p>
        </w:tc>
        <w:tc>
          <w:tcPr>
            <w:tcW w:type="dxa" w:w="3120"/>
          </w:tcPr>
          <w:p>
            <w:r>
              <w:t>SQLite3 with WAL Mode</w:t>
            </w:r>
          </w:p>
        </w:tc>
        <w:tc>
          <w:tcPr>
            <w:tcW w:type="dxa" w:w="3120"/>
          </w:tcPr>
          <w:p>
            <w:r>
              <w:t>ACID-compliant storage supporting concurrent reads and writes with zero lock latency.</w:t>
            </w:r>
          </w:p>
        </w:tc>
      </w:tr>
    </w:tbl>
    <w:p>
      <w:r>
        <w:br w:type="page"/>
      </w:r>
    </w:p>
    <w:p>
      <w:pPr>
        <w:pStyle w:val="Heading1"/>
        <w:spacing w:before="240" w:after="80"/>
      </w:pPr>
      <w:r>
        <w:rPr>
          <w:rFonts w:ascii="Calibri" w:hAnsi="Calibri"/>
          <w:color w:val="0F172A"/>
        </w:rPr>
        <w:t>3. Module Design &amp; Functional Specifications</w:t>
      </w:r>
    </w:p>
    <w:p>
      <w:pPr>
        <w:pStyle w:val="Heading2"/>
        <w:spacing w:before="240" w:after="80"/>
      </w:pPr>
      <w:r>
        <w:rPr>
          <w:rFonts w:ascii="Calibri" w:hAnsi="Calibri"/>
          <w:color w:val="0F172A"/>
        </w:rPr>
        <w:t>3.1 Semantic Ingestion &amp; AI Sorting Engine</w:t>
      </w:r>
    </w:p>
    <w:p>
      <w:pPr>
        <w:spacing w:after="120" w:line="276" w:lineRule="auto"/>
      </w:pPr>
      <w:r>
        <w:rPr>
          <w:rFonts w:ascii="Calibri" w:hAnsi="Calibri"/>
          <w:color w:val="334155"/>
          <w:sz w:val="22"/>
        </w:rPr>
        <w:t>Accepts diverse file formats (PDFs, source code, images, audio, markdown, documents). Files are inspected and processed through Google GenAI SDK routines. Gemini Flash processes file headers and text tokens, assigning contextually relevant categories (e.g., Lecture Notes, Chat Transcripts, Question Banks, Miscellaneous) and filing them into user-isolated directories on disk.</w:t>
      </w:r>
    </w:p>
    <w:p>
      <w:pPr>
        <w:pStyle w:val="Heading2"/>
        <w:spacing w:before="240" w:after="80"/>
      </w:pPr>
      <w:r>
        <w:rPr>
          <w:rFonts w:ascii="Calibri" w:hAnsi="Calibri"/>
          <w:color w:val="0F172A"/>
        </w:rPr>
        <w:t>3.2 Creator Admin Security &amp; Authentication Module</w:t>
      </w:r>
    </w:p>
    <w:p>
      <w:pPr>
        <w:spacing w:after="120" w:line="276" w:lineRule="auto"/>
      </w:pPr>
      <w:r>
        <w:rPr>
          <w:rFonts w:ascii="Calibri" w:hAnsi="Calibri"/>
          <w:color w:val="334155"/>
          <w:sz w:val="22"/>
        </w:rPr>
        <w:t>Provides dedicated authentication gates for regular members and the Creator Admin. The Creator Portal is restricted exclusively to noragamiarota@gmail.com. Password security is enforced through cryptographic hashing and an email-based OTP verification loop. Non-admin users are strictly isolated from global administrative controls.</w:t>
      </w:r>
    </w:p>
    <w:p>
      <w:pPr>
        <w:pStyle w:val="Heading2"/>
        <w:spacing w:before="240" w:after="80"/>
      </w:pPr>
      <w:r>
        <w:rPr>
          <w:rFonts w:ascii="Calibri" w:hAnsi="Calibri"/>
          <w:color w:val="0F172A"/>
        </w:rPr>
        <w:t>3.3 Granular File Lifecycle &amp; Row-Level Management</w:t>
      </w:r>
    </w:p>
    <w:p>
      <w:pPr>
        <w:spacing w:after="120" w:line="276" w:lineRule="auto"/>
      </w:pPr>
      <w:r>
        <w:rPr>
          <w:rFonts w:ascii="Calibri" w:hAnsi="Calibri"/>
          <w:b/>
          <w:color w:val="0F172A"/>
          <w:sz w:val="22"/>
        </w:rPr>
        <w:t xml:space="preserve">Storage States: </w:t>
      </w:r>
      <w:r>
        <w:rPr>
          <w:rFonts w:ascii="Calibri" w:hAnsi="Calibri"/>
          <w:color w:val="334155"/>
          <w:sz w:val="22"/>
        </w:rPr>
        <w:t>Features a 3-stage file lifecycle:</w:t>
      </w:r>
    </w:p>
    <w:p>
      <w:pPr>
        <w:spacing w:after="120" w:line="276" w:lineRule="auto"/>
      </w:pPr>
      <w:r>
        <w:rPr>
          <w:rFonts w:ascii="Calibri" w:hAnsi="Calibri"/>
          <w:b/>
          <w:color w:val="0F172A"/>
          <w:sz w:val="22"/>
        </w:rPr>
        <w:t xml:space="preserve">1. Active Status: </w:t>
      </w:r>
      <w:r>
        <w:rPr>
          <w:rFonts w:ascii="Calibri" w:hAnsi="Calibri"/>
          <w:color w:val="334155"/>
          <w:sz w:val="22"/>
        </w:rPr>
        <w:t>Document is visible in Main Library and Drive Catalog, counted toward active storage quotas.</w:t>
      </w:r>
    </w:p>
    <w:p>
      <w:pPr>
        <w:spacing w:after="120" w:line="276" w:lineRule="auto"/>
      </w:pPr>
      <w:r>
        <w:rPr>
          <w:rFonts w:ascii="Calibri" w:hAnsi="Calibri"/>
          <w:b/>
          <w:color w:val="0F172A"/>
          <w:sz w:val="22"/>
        </w:rPr>
        <w:t xml:space="preserve">2. Soft-Deleted (Trash): </w:t>
      </w:r>
      <w:r>
        <w:rPr>
          <w:rFonts w:ascii="Calibri" w:hAnsi="Calibri"/>
          <w:color w:val="334155"/>
          <w:sz w:val="22"/>
        </w:rPr>
        <w:t>File is removed from active workspace to Trash, preserving classification history and database records.</w:t>
      </w:r>
    </w:p>
    <w:p>
      <w:pPr>
        <w:spacing w:after="120" w:line="276" w:lineRule="auto"/>
      </w:pPr>
      <w:r>
        <w:rPr>
          <w:rFonts w:ascii="Calibri" w:hAnsi="Calibri"/>
          <w:b/>
          <w:color w:val="0F172A"/>
          <w:sz w:val="22"/>
        </w:rPr>
        <w:t xml:space="preserve">3. Permanent Wipe: </w:t>
      </w:r>
      <w:r>
        <w:rPr>
          <w:rFonts w:ascii="Calibri" w:hAnsi="Calibri"/>
          <w:color w:val="334155"/>
          <w:sz w:val="22"/>
        </w:rPr>
        <w:t>Database record and physical file on disk are erased upon user confirmation.</w:t>
      </w:r>
    </w:p>
    <w:p>
      <w:pPr>
        <w:pStyle w:val="Heading2"/>
        <w:spacing w:before="240" w:after="80"/>
      </w:pPr>
      <w:r>
        <w:rPr>
          <w:rFonts w:ascii="Calibri" w:hAnsi="Calibri"/>
          <w:color w:val="0F172A"/>
        </w:rPr>
        <w:t>3.4 Audit Trail &amp; Telemetry Module</w:t>
      </w:r>
    </w:p>
    <w:p>
      <w:pPr>
        <w:spacing w:after="120" w:line="276" w:lineRule="auto"/>
      </w:pPr>
      <w:r>
        <w:rPr>
          <w:rFonts w:ascii="Calibri" w:hAnsi="Calibri"/>
          <w:color w:val="334155"/>
          <w:sz w:val="22"/>
        </w:rPr>
        <w:t>Every sensitive user and system interaction is written to system_logs. Events include user sign-ins, logouts, OTP requests, Gemini batch sorting events, and file purges. Timestamps are captured in UTC and localized into a clean single-line format (e.g., 30 Sep 2026, 10:14 PM) for administrative analysis.</w:t>
      </w:r>
    </w:p>
    <w:p>
      <w:r>
        <w:br w:type="page"/>
      </w:r>
    </w:p>
    <w:p>
      <w:pPr>
        <w:pStyle w:val="Heading1"/>
        <w:spacing w:before="240" w:after="80"/>
      </w:pPr>
      <w:r>
        <w:rPr>
          <w:rFonts w:ascii="Calibri" w:hAnsi="Calibri"/>
          <w:color w:val="0F172A"/>
        </w:rPr>
        <w:t>4. Database Design &amp; Security Architecture</w:t>
      </w:r>
    </w:p>
    <w:p>
      <w:pPr>
        <w:pStyle w:val="Heading2"/>
        <w:spacing w:before="240" w:after="80"/>
      </w:pPr>
      <w:r>
        <w:rPr>
          <w:rFonts w:ascii="Calibri" w:hAnsi="Calibri"/>
          <w:color w:val="0F172A"/>
        </w:rPr>
        <w:t>4.1 Relational Schema Design</w:t>
      </w:r>
    </w:p>
    <w:p>
      <w:pPr>
        <w:spacing w:after="120" w:line="276" w:lineRule="auto"/>
      </w:pPr>
      <w:r>
        <w:rPr>
          <w:rFonts w:ascii="Calibri" w:hAnsi="Calibri"/>
          <w:color w:val="334155"/>
          <w:sz w:val="22"/>
        </w:rPr>
        <w:t>1. users: Stores user identities, usernames, email addresses, hashed passwords, and assigned authorization roles (admin vs. user).</w:t>
      </w:r>
    </w:p>
    <w:p>
      <w:pPr>
        <w:spacing w:after="120" w:line="276" w:lineRule="auto"/>
      </w:pPr>
      <w:r>
        <w:rPr>
          <w:rFonts w:ascii="Calibri" w:hAnsi="Calibri"/>
          <w:color w:val="334155"/>
          <w:sz w:val="22"/>
        </w:rPr>
        <w:t>2. document_history: Tracks file records, owner foreign keys (user_id), original file names, system storage paths, sizes in KB, categories, active/deleted states, and creation timestamps.</w:t>
      </w:r>
    </w:p>
    <w:p>
      <w:pPr>
        <w:spacing w:after="120" w:line="276" w:lineRule="auto"/>
      </w:pPr>
      <w:r>
        <w:rPr>
          <w:rFonts w:ascii="Calibri" w:hAnsi="Calibri"/>
          <w:color w:val="334155"/>
          <w:sz w:val="22"/>
        </w:rPr>
        <w:t>3. system_logs: Chronological record storing log ID, UTC timestamp, performing username, action type, and JSON metadata descriptions.</w:t>
      </w:r>
    </w:p>
    <w:p>
      <w:pPr>
        <w:spacing w:after="120" w:line="276" w:lineRule="auto"/>
      </w:pPr>
      <w:r>
        <w:rPr>
          <w:rFonts w:ascii="Calibri" w:hAnsi="Calibri"/>
          <w:color w:val="334155"/>
          <w:sz w:val="22"/>
        </w:rPr>
        <w:t>4. otp_codes: Ephemeral verification storage containing hashed one-time tokens, user email references, and expiration windows.</w:t>
      </w:r>
    </w:p>
    <w:p>
      <w:pPr>
        <w:pStyle w:val="Heading2"/>
        <w:spacing w:before="240" w:after="80"/>
      </w:pPr>
      <w:r>
        <w:rPr>
          <w:rFonts w:ascii="Calibri" w:hAnsi="Calibri"/>
          <w:color w:val="0F172A"/>
        </w:rPr>
        <w:t>4.2 Concurrency &amp; Write-Ahead Logging (WAL)</w:t>
      </w:r>
    </w:p>
    <w:p>
      <w:pPr>
        <w:spacing w:after="120" w:line="276" w:lineRule="auto"/>
      </w:pPr>
      <w:r>
        <w:rPr>
          <w:rFonts w:ascii="Calibri" w:hAnsi="Calibri"/>
          <w:color w:val="334155"/>
          <w:sz w:val="22"/>
        </w:rPr>
        <w:t>To avoid database lock contention under concurrent operations (such as batch uploads occurring alongside live audit reads), SmartSorter configures SQLite with PRAGMA journal_mode=WAL. This enables multiple read connections to execute concurrently with write operations without blocking.</w:t>
      </w:r>
    </w:p>
    <w:p>
      <w:pPr>
        <w:pStyle w:val="Heading2"/>
        <w:spacing w:before="240" w:after="80"/>
      </w:pPr>
      <w:r>
        <w:rPr>
          <w:rFonts w:ascii="Calibri" w:hAnsi="Calibri"/>
          <w:color w:val="0F172A"/>
        </w:rPr>
        <w:t>4.3 Multi-Tenancy &amp; Data Privacy</w:t>
      </w:r>
    </w:p>
    <w:p>
      <w:pPr>
        <w:spacing w:after="120" w:line="276" w:lineRule="auto"/>
      </w:pPr>
      <w:r>
        <w:rPr>
          <w:rFonts w:ascii="Calibri" w:hAnsi="Calibri"/>
          <w:color w:val="334155"/>
          <w:sz w:val="22"/>
        </w:rPr>
        <w:t>Database queries enforce tenant boundaries by including WHERE user_id = ? conditions across document endpoints. Non-admin users can only view their own files, ensuring complete cross-user data isolation.</w:t>
      </w:r>
    </w:p>
    <w:p>
      <w:r>
        <w:br w:type="page"/>
      </w:r>
    </w:p>
    <w:p>
      <w:pPr>
        <w:pStyle w:val="Heading1"/>
        <w:spacing w:before="240" w:after="80"/>
      </w:pPr>
      <w:r>
        <w:rPr>
          <w:rFonts w:ascii="Calibri" w:hAnsi="Calibri"/>
          <w:color w:val="0F172A"/>
        </w:rPr>
        <w:t>5. Results, Impact, and Future Enhancements</w:t>
      </w:r>
    </w:p>
    <w:p>
      <w:pPr>
        <w:pStyle w:val="Heading2"/>
        <w:spacing w:before="240" w:after="80"/>
      </w:pPr>
      <w:r>
        <w:rPr>
          <w:rFonts w:ascii="Calibri" w:hAnsi="Calibri"/>
          <w:color w:val="0F172A"/>
        </w:rPr>
        <w:t>5.1 Verification &amp; Performance Results</w:t>
      </w:r>
    </w:p>
    <w:p>
      <w:pPr>
        <w:spacing w:after="120" w:line="276" w:lineRule="auto"/>
      </w:pPr>
      <w:r>
        <w:rPr>
          <w:rFonts w:ascii="Calibri" w:hAnsi="Calibri"/>
          <w:color w:val="334155"/>
          <w:sz w:val="22"/>
        </w:rPr>
        <w:t>Test deployments verified end-to-end functionality across all core modules:</w:t>
      </w:r>
    </w:p>
    <w:p>
      <w:pPr>
        <w:spacing w:after="120" w:line="276" w:lineRule="auto"/>
      </w:pPr>
      <w:r>
        <w:rPr>
          <w:rFonts w:ascii="Calibri" w:hAnsi="Calibri"/>
          <w:b/>
          <w:color w:val="0F172A"/>
          <w:sz w:val="22"/>
        </w:rPr>
        <w:t xml:space="preserve">• Classification Accuracy: </w:t>
      </w:r>
      <w:r>
        <w:rPr>
          <w:rFonts w:ascii="Calibri" w:hAnsi="Calibri"/>
          <w:color w:val="334155"/>
          <w:sz w:val="22"/>
        </w:rPr>
        <w:t>Gemini Flash achieved sub-second classification latency across PDFs, images, and source code files.</w:t>
      </w:r>
    </w:p>
    <w:p>
      <w:pPr>
        <w:spacing w:after="120" w:line="276" w:lineRule="auto"/>
      </w:pPr>
      <w:r>
        <w:rPr>
          <w:rFonts w:ascii="Calibri" w:hAnsi="Calibri"/>
          <w:b/>
          <w:color w:val="0F172A"/>
          <w:sz w:val="22"/>
        </w:rPr>
        <w:t xml:space="preserve">• State &amp; Metric Persistence: </w:t>
      </w:r>
      <w:r>
        <w:rPr>
          <w:rFonts w:ascii="Calibri" w:hAnsi="Calibri"/>
          <w:color w:val="334155"/>
          <w:sz w:val="22"/>
        </w:rPr>
        <w:t>Audit trails and metric calculation endpoints accurately tracked lifetime processing counts even across file deletions.</w:t>
      </w:r>
    </w:p>
    <w:p>
      <w:pPr>
        <w:spacing w:after="120" w:line="276" w:lineRule="auto"/>
      </w:pPr>
      <w:r>
        <w:rPr>
          <w:rFonts w:ascii="Calibri" w:hAnsi="Calibri"/>
          <w:b/>
          <w:color w:val="0F172A"/>
          <w:sz w:val="22"/>
        </w:rPr>
        <w:t xml:space="preserve">• Telemetry &amp; UX: </w:t>
      </w:r>
      <w:r>
        <w:rPr>
          <w:rFonts w:ascii="Calibri" w:hAnsi="Calibri"/>
          <w:color w:val="334155"/>
          <w:sz w:val="22"/>
        </w:rPr>
        <w:t>The localized timestamp engine formatted UTC timestamps cleanly on a single line without UI layout shifts.</w:t>
      </w:r>
    </w:p>
    <w:p>
      <w:pPr>
        <w:spacing w:after="120" w:line="276" w:lineRule="auto"/>
      </w:pPr>
      <w:r>
        <w:rPr>
          <w:rFonts w:ascii="Calibri" w:hAnsi="Calibri"/>
          <w:b/>
          <w:color w:val="0F172A"/>
          <w:sz w:val="22"/>
        </w:rPr>
        <w:t xml:space="preserve">• Administrative Isolation: </w:t>
      </w:r>
      <w:r>
        <w:rPr>
          <w:rFonts w:ascii="Calibri" w:hAnsi="Calibri"/>
          <w:color w:val="334155"/>
          <w:sz w:val="22"/>
        </w:rPr>
        <w:t>Authentication boundaries successfully blocked non-creator emails from Creator Admin endpoints.</w:t>
      </w:r>
    </w:p>
    <w:p>
      <w:pPr>
        <w:pStyle w:val="Heading2"/>
        <w:spacing w:before="240" w:after="80"/>
      </w:pPr>
      <w:r>
        <w:rPr>
          <w:rFonts w:ascii="Calibri" w:hAnsi="Calibri"/>
          <w:color w:val="0F172A"/>
        </w:rPr>
        <w:t>5.2 Future Scope &amp; Roadmaps</w:t>
      </w:r>
    </w:p>
    <w:p>
      <w:pPr>
        <w:spacing w:after="120" w:line="276" w:lineRule="auto"/>
      </w:pPr>
      <w:r>
        <w:rPr>
          <w:rFonts w:ascii="Calibri" w:hAnsi="Calibri"/>
          <w:color w:val="334155"/>
          <w:sz w:val="22"/>
        </w:rPr>
        <w:t>1. Distributed Object Storage: Migrating local disk directories to cloud object stores (e.g., AWS S3 or MinIO) for enterprise scale.</w:t>
      </w:r>
    </w:p>
    <w:p>
      <w:pPr>
        <w:spacing w:after="120" w:line="276" w:lineRule="auto"/>
      </w:pPr>
      <w:r>
        <w:rPr>
          <w:rFonts w:ascii="Calibri" w:hAnsi="Calibri"/>
          <w:color w:val="334155"/>
          <w:sz w:val="22"/>
        </w:rPr>
        <w:t>2. Vector Semantic Search: Integrating pgvector or ChromaDB to enable natural-language questioning across sorted document collections.</w:t>
      </w:r>
    </w:p>
    <w:p>
      <w:pPr>
        <w:spacing w:after="120" w:line="276" w:lineRule="auto"/>
      </w:pPr>
      <w:r>
        <w:rPr>
          <w:rFonts w:ascii="Calibri" w:hAnsi="Calibri"/>
          <w:color w:val="334155"/>
          <w:sz w:val="22"/>
        </w:rPr>
        <w:t>3. Native Cross-Platform Clients: Extending the React web application into Flutter mobile and desktop distributions.</w:t>
      </w:r>
    </w:p>
    <w:p>
      <w:pPr>
        <w:pStyle w:val="Heading2"/>
        <w:spacing w:before="240" w:after="80"/>
      </w:pPr>
      <w:r>
        <w:rPr>
          <w:rFonts w:ascii="Calibri" w:hAnsi="Calibri"/>
          <w:color w:val="0F172A"/>
        </w:rPr>
        <w:t>5.3 References</w:t>
      </w:r>
    </w:p>
    <w:p>
      <w:pPr>
        <w:spacing w:after="120" w:line="276" w:lineRule="auto"/>
      </w:pPr>
      <w:r>
        <w:rPr>
          <w:rFonts w:ascii="Calibri" w:hAnsi="Calibri"/>
          <w:color w:val="334155"/>
          <w:sz w:val="22"/>
        </w:rPr>
        <w:t>[1] FastAPI Documentation: High-performance, asynchronous Python web APIs (tiangolo.com).</w:t>
      </w:r>
    </w:p>
    <w:p>
      <w:pPr>
        <w:spacing w:after="120" w:line="276" w:lineRule="auto"/>
      </w:pPr>
      <w:r>
        <w:rPr>
          <w:rFonts w:ascii="Calibri" w:hAnsi="Calibri"/>
          <w:color w:val="334155"/>
          <w:sz w:val="22"/>
        </w:rPr>
        <w:t>[2] Google GenAI SDK: Multimodal Gemini developer documentation (ai.google.dev).</w:t>
      </w:r>
    </w:p>
    <w:p>
      <w:pPr>
        <w:spacing w:after="120" w:line="276" w:lineRule="auto"/>
      </w:pPr>
      <w:r>
        <w:rPr>
          <w:rFonts w:ascii="Calibri" w:hAnsi="Calibri"/>
          <w:color w:val="334155"/>
          <w:sz w:val="22"/>
        </w:rPr>
        <w:t>[3] React Documentation: Declarative component architectures (react.dev).</w:t>
      </w:r>
    </w:p>
    <w:p>
      <w:pPr>
        <w:spacing w:after="120" w:line="276" w:lineRule="auto"/>
      </w:pPr>
      <w:r>
        <w:rPr>
          <w:rFonts w:ascii="Calibri" w:hAnsi="Calibri"/>
          <w:color w:val="334155"/>
          <w:sz w:val="22"/>
        </w:rPr>
        <w:t>[4] SQLite Architectural Consortia: Write-Ahead Logging internals (sqlite.org/wal.html).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