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Solution Architecture</w:t>
      </w:r>
      <w:r w:rsidDel="00000000" w:rsidR="00000000" w:rsidRPr="00000000">
        <w:rPr>
          <w:rtl w:val="0"/>
        </w:rPr>
      </w:r>
    </w:p>
    <w:tbl>
      <w:tblPr>
        <w:tblStyle w:val="Table1"/>
        <w:tblW w:w="10944.0" w:type="dxa"/>
        <w:jc w:val="center"/>
        <w:tblLayout w:type="fixed"/>
        <w:tblLook w:val="0400"/>
      </w:tblPr>
      <w:tblGrid>
        <w:gridCol w:w="2448"/>
        <w:gridCol w:w="8496"/>
        <w:tblGridChange w:id="0">
          <w:tblGrid>
            <w:gridCol w:w="2448"/>
            <w:gridCol w:w="84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29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 ID : SWTID-2026-6107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EduGenie: Google Gemini Powered Learning 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 Diagram: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  <w:t xml:space="preserve">High-level architecture of EduGenie mapped to the provided template.</w:t>
      </w:r>
    </w:p>
    <w:tbl>
      <w:tblPr>
        <w:tblStyle w:val="Table2"/>
        <w:tblW w:w="10800.0" w:type="dxa"/>
        <w:jc w:val="center"/>
        <w:tblLayout w:type="fixed"/>
        <w:tblLook w:val="04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835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ddebf7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PRESENTATION / CLIENT LAYER</w:t>
              <w:br w:type="textWrapping"/>
              <w:t xml:space="preserve">HTML + CSS Web Interface (index.html, style.css)</w:t>
              <w:br w:type="textWrapping"/>
              <w:t xml:space="preserve">Task selection • User input • Result display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9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e2f0d9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↓  ↑</w:t>
              <w:br w:type="textWrapping"/>
              <w:t xml:space="preserve">API GATEWAY / APPLICATION SERVER</w:t>
              <w:br w:type="textWrapping"/>
              <w:t xml:space="preserve">FastAPI REST API • Uvicorn (ASGI Server)</w:t>
              <w:br w:type="textWrapping"/>
              <w:t xml:space="preserve">Endpoints: /qa • /explain • /quiz • /summarize • /learn/recommendations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5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CORE LOGIC / AI SERVICES</w:t>
              <w:br w:type="textWrapping"/>
              <w:t xml:space="preserve">Explanation Module • QnA Module • Quiz Module • Summary Module • Learning Path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9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AI MODEL LAYER</w:t>
              <w:br w:type="textWrapping"/>
              <w:t xml:space="preserve">Google Gemini 1.5 Pro — Q&amp;A, summarization, quiz generation, learning paths</w:t>
              <w:br w:type="textWrapping"/>
              <w:t xml:space="preserve">LaMini-Flan-T5-783M — concept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5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e4dfec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EXTERNAL API INTEGRATION</w:t>
              <w:br w:type="textWrapping"/>
              <w:t xml:space="preserve">Google Gemini API</w:t>
              <w:br w:type="textWrapping"/>
              <w:t xml:space="preserve">Used by QnA, Quiz, Summary and Learning Path 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5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DATA / STORAGE LAYER</w:t>
              <w:br w:type="textWrapping"/>
              <w:t xml:space="preserve">Application modules and configuration/dependency files</w:t>
              <w:br w:type="textWrapping"/>
              <w:t xml:space="preserve">requirements.txt • templates/ • static/</w:t>
              <w:br w:type="textWrapping"/>
              <w:t xml:space="preserve">(No database is specified in the source documentation)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5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DEPLOYMENT / RUNTIME</w:t>
              <w:br w:type="textWrapping"/>
              <w:t xml:space="preserve">Python 3.10+ • Uvicorn • Local execution at 127.0.0.1:8000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Architecture note: </w:t>
      </w:r>
      <w:r w:rsidDel="00000000" w:rsidR="00000000" w:rsidRPr="00000000">
        <w:rPr>
          <w:rtl w:val="0"/>
        </w:rPr>
        <w:t xml:space="preserve">The source documentation defines a FastAPI backend, HTML/CSS frontend, Gemini API integration, and a local LaMini-Flan-T5 model. It does not specify a database, authentication service, or separate load balancer, so these are not invented in the architecture.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Component Description Table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center"/>
        <w:tblLayout w:type="fixed"/>
        <w:tblLook w:val="0400"/>
      </w:tblPr>
      <w:tblGrid>
        <w:gridCol w:w="2376"/>
        <w:gridCol w:w="5976"/>
        <w:gridCol w:w="2448"/>
        <w:tblGridChange w:id="0">
          <w:tblGrid>
            <w:gridCol w:w="2376"/>
            <w:gridCol w:w="5976"/>
            <w:gridCol w:w="2448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Component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Description / Role in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Technologies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Presentation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Provides the browser-based interface. Users select a task, enter text, submit the request, and view the result below the input area.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HTML, CSS, Jinja2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API Gateway / Application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Exposes RESTful endpoints and routes each request to the corresponding EduGenie module. Handles the web application runtime.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FastAPI, Uvicorn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Core Logic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Implements explanation, question answering, quiz generation, summarization, and personalized learning recommendations.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Python modules: explanation_module.py, qna.py, quiz_module.py, summary_module.py, learning_path.py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AI Model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Provides generative AI capabilities. Gemini handles Q&amp;A, summarization, quizzes and learning paths; LaMini-Flan-T5 provides concept explanations.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Google Gemini 1.5 Pro API; LaMini-Flan-T5-783M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External API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Connects EduGenie to Google's Gemini service for cloud-based AI inference and generation.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Google Gemini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Data /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The source documentation lists project files, templates, static assets and Python dependencies. No persistent database or cloud storage service is specified.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requirements.txt; templates/index.html; static/style.css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Runtime /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Runs locally through Uvicorn and is accessed through the local web address. Python is the primary runtime.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Python 3.10+; Uvicorn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basis: </w:t>
      </w:r>
      <w:r w:rsidDel="00000000" w:rsidR="00000000" w:rsidRPr="00000000">
        <w:rPr>
          <w:rtl w:val="0"/>
        </w:rPr>
        <w:t xml:space="preserve">EduGenie project documentation and the provided Solution Architecture template. Content has been mapped without adding unsupported architecture components.</w:t>
      </w:r>
    </w:p>
    <w:sectPr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