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SOLUTION REQUIREMENTS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EduGenie: Google Gemini Powered Learning Assistant</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vAlign w:val="center"/>
          </w:tcPr>
          <w:p w:rsidR="00000000" w:rsidDel="00000000" w:rsidP="00000000" w:rsidRDefault="00000000" w:rsidRPr="00000000" w14:paraId="00000003">
            <w:pPr>
              <w:rPr/>
            </w:pPr>
            <w:r w:rsidDel="00000000" w:rsidR="00000000" w:rsidRPr="00000000">
              <w:rPr>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rtl w:val="0"/>
              </w:rPr>
              <w:t xml:space="preserve">29 September 26</w:t>
            </w:r>
          </w:p>
        </w:tc>
      </w:tr>
      <w:tr>
        <w:trPr>
          <w:cantSplit w:val="0"/>
          <w:tblHeader w:val="0"/>
        </w:trPr>
        <w:tc>
          <w:tcP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tl w:val="0"/>
              </w:rPr>
              <w:t xml:space="preserve">Team ID : SWTID-2026-6107</w:t>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EduGenie: Google Gemini Powered Learning Assistant</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Basis: </w:t>
      </w:r>
      <w:r w:rsidDel="00000000" w:rsidR="00000000" w:rsidRPr="00000000">
        <w:rPr>
          <w:rtl w:val="0"/>
        </w:rPr>
        <w:t xml:space="preserve">The requirements below are converted from the supplied EduGenie project documentation into the Functional Requirements (FR) and Non-Functional Requirements (NFR) structure of the supplied Solution Requirements template. Quantitative targets not stated in the project documentation are explicitly marked as not specified.</w:t>
      </w:r>
    </w:p>
    <w:p w:rsidR="00000000" w:rsidDel="00000000" w:rsidP="00000000" w:rsidRDefault="00000000" w:rsidRPr="00000000" w14:paraId="0000000B">
      <w:pPr>
        <w:pStyle w:val="Heading1"/>
        <w:rPr/>
      </w:pPr>
      <w:r w:rsidDel="00000000" w:rsidR="00000000" w:rsidRPr="00000000">
        <w:rPr>
          <w:rtl w:val="0"/>
        </w:rPr>
        <w:t xml:space="preserve">Step 1: Functional Requirements (FR)</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d9eaf7" w:val="clea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sz w:val="18"/>
                <w:szCs w:val="18"/>
                <w:rtl w:val="0"/>
              </w:rPr>
              <w:t xml:space="preserve">S.No</w:t>
            </w:r>
            <w:r w:rsidDel="00000000" w:rsidR="00000000" w:rsidRPr="00000000">
              <w:rPr>
                <w:rtl w:val="0"/>
              </w:rPr>
            </w:r>
          </w:p>
        </w:tc>
        <w:tc>
          <w:tcPr>
            <w:shd w:fill="d9eaf7" w:val="cle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sz w:val="18"/>
                <w:szCs w:val="18"/>
                <w:rtl w:val="0"/>
              </w:rPr>
              <w:t xml:space="preserve">Requirement Category</w:t>
            </w:r>
            <w:r w:rsidDel="00000000" w:rsidR="00000000" w:rsidRPr="00000000">
              <w:rPr>
                <w:rtl w:val="0"/>
              </w:rPr>
            </w:r>
          </w:p>
        </w:tc>
        <w:tc>
          <w:tcPr>
            <w:shd w:fill="d9eaf7" w:val="clea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sz w:val="18"/>
                <w:szCs w:val="18"/>
                <w:rtl w:val="0"/>
              </w:rPr>
              <w:t xml:space="preserve">Requirement Description</w:t>
            </w:r>
            <w:r w:rsidDel="00000000" w:rsidR="00000000" w:rsidRPr="00000000">
              <w:rPr>
                <w:rtl w:val="0"/>
              </w:rPr>
            </w:r>
          </w:p>
        </w:tc>
        <w:tc>
          <w:tcPr>
            <w:shd w:fill="d9eaf7" w:val="cle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sz w:val="17"/>
                <w:szCs w:val="17"/>
                <w:rtl w:val="0"/>
              </w:rPr>
              <w:t xml:space="preserve">Authentication</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sz w:val="17"/>
                <w:szCs w:val="17"/>
                <w:rtl w:val="0"/>
              </w:rPr>
              <w:t xml:space="preserve">No user authentication or identity-verification mechanism is specified in the supplied project documentation. The current application is described as a lightweight web interface for learners.</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sz w:val="17"/>
                <w:szCs w:val="17"/>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sz w:val="17"/>
                <w:szCs w:val="17"/>
                <w:rtl w:val="0"/>
              </w:rPr>
              <w:t xml:space="preserve">Authorization levels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sz w:val="17"/>
                <w:szCs w:val="17"/>
                <w:rtl w:val="0"/>
              </w:rPr>
              <w:t xml:space="preserve">No role-based authorization levels are specified. The documented interface provides the learning functions without defining separate student, teacher, administrator, or other access roles.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sz w:val="17"/>
                <w:szCs w:val="17"/>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sz w:val="17"/>
                <w:szCs w:val="17"/>
                <w:rtl w:val="0"/>
              </w:rPr>
              <w:t xml:space="preserve">External interfaces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sz w:val="17"/>
                <w:szCs w:val="17"/>
                <w:rtl w:val="0"/>
              </w:rPr>
              <w:t xml:space="preserve">The system connects to the Google Gemini API for Q&amp;A, summarization, quiz generation, and learning-path recommendations. It also uses FastAPI REST endpoints and a local LaMini-Flan-T5-783M model for concept explanation.</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sz w:val="17"/>
                <w:szCs w:val="17"/>
                <w:rtl w:val="0"/>
              </w:rPr>
              <w:t xml:space="preserve">Transactions processing</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17"/>
                <w:szCs w:val="17"/>
                <w:rtl w:val="0"/>
              </w:rPr>
              <w:t xml:space="preserve">User requests are submitted through the web interface to the FastAPI backend. The backend routes requests to the relevant module and returns the generated result. No payment or financial transaction processing is specified.</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sz w:val="17"/>
                <w:szCs w:val="17"/>
                <w:rtl w:val="0"/>
              </w:rPr>
              <w:t xml:space="preserve">Reporting</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sz w:val="17"/>
                <w:szCs w:val="17"/>
                <w:rtl w:val="0"/>
              </w:rPr>
              <w:t xml:space="preserve">The documented system does not define formal reports or dashboards. It provides generated learning outputs such as answers, explanations, quizzes, summaries, and learning recommendations directly in the interface.</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sz w:val="17"/>
                <w:szCs w:val="17"/>
                <w:rtl w:val="0"/>
              </w:rPr>
              <w:t xml:space="preserve">Business rules, etc.</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17"/>
                <w:szCs w:val="17"/>
                <w:rtl w:val="0"/>
              </w:rPr>
              <w:t xml:space="preserve">The system shall provide five core learning functions: Q&amp;A, concept explanation, quiz generation, summarization, and learning recommendations. Quiz generation produces three MCQs with four options each and a correct answer in structured JSON. Learning recommendations progress from beginner to advanced topics and may include videos, articles, or books.</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sz w:val="17"/>
                <w:szCs w:val="17"/>
                <w:rtl w:val="0"/>
              </w:rPr>
              <w:t xml:space="preserve">Compliance to laws or regulations</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sz w:val="17"/>
                <w:szCs w:val="17"/>
                <w:rtl w:val="0"/>
              </w:rPr>
              <w:t xml:space="preserve">The documentation identifies data privacy as a development concern but does not specify a particular legal, industry, or privacy standard such as GDPR or HIPAA.</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sz w:val="17"/>
                <w:szCs w:val="17"/>
                <w:rtl w:val="0"/>
              </w:rPr>
              <w:t xml:space="preserve">Other</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sz w:val="17"/>
                <w:szCs w:val="17"/>
                <w:rtl w:val="0"/>
              </w:rPr>
              <w:t xml:space="preserve">The system shall expose the documented endpoints /qa, /explain, /quiz, /summarize, and /learn/recommendations, with each endpoint connected to its corresponding module logic. The frontend shall provide task selection, text input, submission, and result display.</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Step 2: Non-Functional Requirements (NFR)</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d9eaf7" w:val="cle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sz w:val="18"/>
                <w:szCs w:val="18"/>
                <w:rtl w:val="0"/>
              </w:rPr>
              <w:t xml:space="preserve">S.No</w:t>
            </w:r>
            <w:r w:rsidDel="00000000" w:rsidR="00000000" w:rsidRPr="00000000">
              <w:rPr>
                <w:rtl w:val="0"/>
              </w:rPr>
            </w:r>
          </w:p>
        </w:tc>
        <w:tc>
          <w:tcPr>
            <w:shd w:fill="d9eaf7" w:val="cle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sz w:val="18"/>
                <w:szCs w:val="18"/>
                <w:rtl w:val="0"/>
              </w:rPr>
              <w:t xml:space="preserve">NFR Category</w:t>
            </w:r>
            <w:r w:rsidDel="00000000" w:rsidR="00000000" w:rsidRPr="00000000">
              <w:rPr>
                <w:rtl w:val="0"/>
              </w:rPr>
            </w:r>
          </w:p>
        </w:tc>
        <w:tc>
          <w:tcPr>
            <w:shd w:fill="d9eaf7" w:val="cle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sz w:val="18"/>
                <w:szCs w:val="18"/>
                <w:rtl w:val="0"/>
              </w:rPr>
              <w:t xml:space="preserve">Requirement Description</w:t>
            </w:r>
            <w:r w:rsidDel="00000000" w:rsidR="00000000" w:rsidRPr="00000000">
              <w:rPr>
                <w:rtl w:val="0"/>
              </w:rPr>
            </w:r>
          </w:p>
        </w:tc>
        <w:tc>
          <w:tcPr>
            <w:shd w:fill="d9eaf7" w:val="cle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sz w:val="18"/>
                <w:szCs w:val="18"/>
                <w:rtl w:val="0"/>
              </w:rPr>
              <w:t xml:space="preserve">Target Metric / 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sz w:val="17"/>
                <w:szCs w:val="17"/>
                <w:rtl w:val="0"/>
              </w:rPr>
              <w:t xml:space="preserve">Performance &amp; Speed</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sz w:val="17"/>
                <w:szCs w:val="17"/>
                <w:rtl w:val="0"/>
              </w:rPr>
              <w:t xml:space="preserve">The project is designed as a lightweight application using FastAPI, a simple HTML/CSS frontend, a local lightweight model for explanations, and cloud-based Gemini services for selected functions.</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sz w:val="17"/>
                <w:szCs w:val="17"/>
                <w:rtl w:val="0"/>
              </w:rPr>
              <w:t xml:space="preserve">No quantitative response-time target is specified in the source documentation. The application should operate through the documented local workflow and display results after request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sz w:val="17"/>
                <w:szCs w:val="17"/>
                <w:rtl w:val="0"/>
              </w:rPr>
              <w:t xml:space="preserve">Scalability</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sz w:val="17"/>
                <w:szCs w:val="17"/>
                <w:rtl w:val="0"/>
              </w:rPr>
              <w:t xml:space="preserve">The documentation describes the cloud-based backend as scalable and positions the lightweight infrastructure for use across a broad range of learners and devices.</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sz w:val="17"/>
                <w:szCs w:val="17"/>
                <w:rtl w:val="0"/>
              </w:rPr>
              <w:t xml:space="preserve">No numeric concurrent-user or data-volume target is specified in the source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sz w:val="17"/>
                <w:szCs w:val="17"/>
                <w:rtl w:val="0"/>
              </w:rPr>
              <w:t xml:space="preserve">Security &amp; Data Privacy</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sz w:val="17"/>
                <w:szCs w:val="17"/>
                <w:rtl w:val="0"/>
              </w:rPr>
              <w:t xml:space="preserve">The Gemini API key must be securely stored. Data privacy is identified as a development concern requiring attention during testing and implementation.</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17"/>
                <w:szCs w:val="17"/>
                <w:rtl w:val="0"/>
              </w:rPr>
              <w:t xml:space="preserve">No specific encryption standard, vulnerability target, or compliance framework is specified in the source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sz w:val="17"/>
                <w:szCs w:val="17"/>
                <w:rtl w:val="0"/>
              </w:rPr>
              <w:t xml:space="preserve">Reliability &amp; Availability</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sz w:val="17"/>
                <w:szCs w:val="17"/>
                <w:rtl w:val="0"/>
              </w:rPr>
              <w:t xml:space="preserve">The modules include error handling for invalid/incomplete API responses and quiz-generation/parsing failures, returning helpful error messages for debugging.</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sz w:val="17"/>
                <w:szCs w:val="17"/>
                <w:rtl w:val="0"/>
              </w:rPr>
              <w:t xml:space="preserve">No uptime percentage or formal fault-tolerance target is specified. Invalid or failed generation/parsing should be handled without silently producing an invalid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sz w:val="17"/>
                <w:szCs w:val="17"/>
                <w:rtl w:val="0"/>
              </w:rPr>
              <w:t xml:space="preserve">Usability &amp; Accessibility</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sz w:val="17"/>
                <w:szCs w:val="17"/>
                <w:rtl w:val="0"/>
              </w:rPr>
              <w:t xml:space="preserve">The interface uses a simple HTML/CSS design with a task dropdown, text area, submit button, responsive styling, and a result container. The system is intended for learners of different academic levels and users with minimal technical experience.</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sz w:val="17"/>
                <w:szCs w:val="17"/>
                <w:rtl w:val="0"/>
              </w:rPr>
              <w:t xml:space="preserve">Responsive web interface with clear input, task selection, submission, and result display. No formal WCAG conformance target is specified in the source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sz w:val="17"/>
                <w:szCs w:val="17"/>
                <w:rtl w:val="0"/>
              </w:rPr>
              <w:t xml:space="preserve">Other – Maintainability &amp; Portability</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sz w:val="17"/>
                <w:szCs w:val="17"/>
                <w:rtl w:val="0"/>
              </w:rPr>
              <w:t xml:space="preserve">The application is modularized into separate explanation, Q&amp;A, quiz, summary, and learning-path components, with a FastAPI backend and HTML/CSS frontend. The documentation also describes lightweight operation and future extensibility.</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sz w:val="17"/>
                <w:szCs w:val="17"/>
                <w:rtl w:val="0"/>
              </w:rPr>
              <w:t xml:space="preserve">Modules and documented endpoints should remain separately maintainable. The application should continue to support the documented local setup using Python 3.10+, FastAPI, Uvicorn, Jinja2, and the configured AI services/models.</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Source limitation: </w:t>
      </w:r>
      <w:r w:rsidDel="00000000" w:rsidR="00000000" w:rsidRPr="00000000">
        <w:rPr>
          <w:rtl w:val="0"/>
        </w:rPr>
        <w:t xml:space="preserve">Authentication, authorization, quantitative performance targets, uptime targets, encryption standards, and formal regulatory compliance are not defined in the supplied EduGenie documentation. They have therefore not been presented as implemented features or verified targets.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right"/>
        <w:rPr/>
      </w:pPr>
      <w:r w:rsidDel="00000000" w:rsidR="00000000" w:rsidRPr="00000000">
        <w:rPr>
          <w:i w:val="1"/>
          <w:iCs w:val="1"/>
          <w:rtl w:val="0"/>
        </w:rPr>
        <w:t xml:space="preserve">Prepared from the supplied EduGenie documentation and Solution Requirements template.</w:t>
      </w:r>
      <w:r w:rsidDel="00000000" w:rsidR="00000000" w:rsidRPr="00000000">
        <w:rPr>
          <w:rtl w:val="0"/>
        </w:rPr>
      </w:r>
    </w:p>
    <w:sectPr>
      <w:pgSz w:h="15840" w:w="12240" w:orient="portrait"/>
      <w:pgMar w:bottom="864" w:top="864"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