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500"/>
              <w:left w:type="dxa" w:w="480"/>
              <w:bottom w:type="dxa" w:w="500"/>
              <w:right w:type="dxa" w:w="480"/>
            </w:tcMar>
          </w:tcPr>
          <w:p>
            <w:pPr>
              <w:spacing w:before="60" w:after="40"/>
              <w:jc w:val="center"/>
            </w:pPr>
            <w:r>
              <w:rPr>
                <w:rFonts w:ascii="Arial" w:cs="Arial" w:eastAsia="Arial" w:hAnsi="Arial"/>
                <w:b/>
                <w:bCs/>
                <w:color w:val="FFFFFF"/>
                <w:sz w:val="44"/>
                <w:szCs w:val="44"/>
              </w:rPr>
              <w:t xml:space="preserve">BUSINESS REQUIREMENTS</w:t>
            </w:r>
          </w:p>
          <w:p>
            <w:pPr>
              <w:spacing w:before="20" w:after="40"/>
              <w:jc w:val="center"/>
            </w:pPr>
            <w:r>
              <w:rPr>
                <w:rFonts w:ascii="Arial" w:cs="Arial" w:eastAsia="Arial" w:hAnsi="Arial"/>
                <w:b/>
                <w:bCs/>
                <w:color w:val="FFFFFF"/>
                <w:sz w:val="44"/>
                <w:szCs w:val="44"/>
              </w:rPr>
              <w:t xml:space="preserve">DOCUMENT  (BRD)</w:t>
            </w:r>
          </w:p>
          <w:p>
            <w:pPr>
              <w:spacing w:before="80" w:after="60"/>
              <w:jc w:val="center"/>
            </w:pPr>
            <w:r>
              <w:rPr>
                <w:rFonts w:ascii="Arial" w:cs="Arial" w:eastAsia="Arial" w:hAnsi="Arial"/>
                <w:color w:val="A8C8E8"/>
                <w:sz w:val="28"/>
                <w:szCs w:val="28"/>
              </w:rPr>
              <w:t xml:space="preserve">Real-Time Payment Fraud Prevention System</w:t>
            </w:r>
          </w:p>
          <w:p>
            <w:pPr>
              <w:spacing w:before="40" w:after="80"/>
              <w:jc w:val="center"/>
            </w:pPr>
            <w:r>
              <w:rPr>
                <w:rFonts w:ascii="Arial" w:cs="Arial" w:eastAsia="Arial" w:hAnsi="Arial"/>
                <w:i/>
                <w:iCs/>
                <w:color w:val="7AAFCF"/>
                <w:sz w:val="20"/>
                <w:szCs w:val="20"/>
              </w:rPr>
              <w:t xml:space="preserve">Defining What the Business Needs — Stakeholder &amp; Business Requirements</w:t>
            </w:r>
          </w:p>
          <w:p>
            <w:pPr>
              <w:spacing w:before="40" w:after="60"/>
              <w:jc w:val="center"/>
            </w:pPr>
            <w:r>
              <w:rPr>
                <w:rFonts w:ascii="Arial" w:cs="Arial" w:eastAsia="Arial" w:hAnsi="Arial"/>
                <w:color w:val="5599BB"/>
                <w:sz w:val="20"/>
                <w:szCs w:val="20"/>
              </w:rPr>
              <w:t xml:space="preserve">BA Portfolio Project  |  Version 1.0  |  March 2026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200"/>
        <w:gridCol w:w="248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Prepared By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 Portfolio Author</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March 06, 2026</w:t>
            </w:r>
          </w:p>
        </w:tc>
      </w:tr>
      <w:tr>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v1.0 – Baseline Draft</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c>
          <w:tcPr>
            <w:tcW w:type="dxa" w:w="24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C55A11"/>
                <w:sz w:val="19"/>
                <w:szCs w:val="19"/>
              </w:rPr>
              <w:t xml:space="preserve">Baselined – Awaiting Sign-Off</w:t>
            </w:r>
          </w:p>
        </w:tc>
      </w:tr>
      <w:tr>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Project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RTPFPS – Phase 1</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Total Requirements</w:t>
            </w:r>
          </w:p>
        </w:tc>
        <w:tc>
          <w:tcPr>
            <w:tcW w:type="dxa" w:w="24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left"/>
            </w:pPr>
            <w:r>
              <w:rPr>
                <w:rFonts w:ascii="Arial" w:cs="Arial" w:eastAsia="Arial" w:hAnsi="Arial"/>
                <w:b/>
                <w:bCs/>
                <w:color w:val="1E7145"/>
                <w:sz w:val="19"/>
                <w:szCs w:val="19"/>
              </w:rPr>
              <w:t xml:space="preserve">38 Business Requirements Documented</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1.  Introduction &amp; Document Purpose</w:t>
      </w:r>
    </w:p>
    <w:p>
      <w:pPr>
        <w:spacing w:before="60" w:after="80"/>
      </w:pPr>
      <w:r>
        <w:rPr>
          <w:rFonts w:ascii="Arial" w:cs="Arial" w:eastAsia="Arial" w:hAnsi="Arial"/>
          <w:color w:val="1A1A1A"/>
          <w:sz w:val="20"/>
          <w:szCs w:val="20"/>
        </w:rPr>
        <w:t xml:space="preserve">This Business Requirements Document (BRD) captures the complete set of business, stakeholder, and non-functional requirements for the Real-Time Payment Fraud Prevention System (RTPFPS). It defines what the business needs the system to achieve, not how it will be technically built (that is addressed in the Functional Requirements Document).</w:t>
      </w:r>
    </w:p>
    <w:p>
      <w:pPr>
        <w:spacing w:before="60" w:after="80"/>
      </w:pPr>
      <w:r>
        <w:rPr>
          <w:rFonts w:ascii="Arial" w:cs="Arial" w:eastAsia="Arial" w:hAnsi="Arial"/>
          <w:color w:val="1A1A1A"/>
          <w:sz w:val="20"/>
          <w:szCs w:val="20"/>
        </w:rPr>
        <w:t xml:space="preserve">This document is the primary reference for all stakeholders throughout the project lifecycle — from design through to user acceptance testing — and forms the contractual baseline between the business and the delivery team.</w:t>
      </w:r>
    </w:p>
    <w:p>
      <w:pPr>
        <w:spacing w:before="60" w:after="60"/>
      </w:pPr>
      <w:r>
        <w:t xml:space="preserve"/>
      </w:r>
    </w:p>
    <w:p>
      <w:pPr>
        <w:pStyle w:val="Heading2"/>
        <w:spacing w:before="240" w:after="100"/>
      </w:pPr>
      <w:r>
        <w:rPr>
          <w:rFonts w:ascii="Arial" w:cs="Arial" w:eastAsia="Arial" w:hAnsi="Arial"/>
          <w:b/>
          <w:bCs/>
          <w:color w:val="2E75B6"/>
          <w:sz w:val="22"/>
          <w:szCs w:val="22"/>
        </w:rPr>
        <w:t xml:space="preserve">1.1  Document Objectives</w:t>
      </w:r>
    </w:p>
    <w:p>
      <w:pPr>
        <w:pStyle w:val="ListParagraph"/>
        <w:numPr>
          <w:ilvl w:val="0"/>
          <w:numId w:val="2"/>
        </w:numPr>
        <w:spacing w:before="50" w:after="50"/>
      </w:pPr>
      <w:r>
        <w:rPr>
          <w:rFonts w:ascii="Arial" w:cs="Arial" w:eastAsia="Arial" w:hAnsi="Arial"/>
          <w:color w:val="1A1A1A"/>
          <w:sz w:val="19"/>
          <w:szCs w:val="19"/>
        </w:rPr>
        <w:t xml:space="preserve">Capture all business and stakeholder requirements in a structured, traceable format</w:t>
      </w:r>
    </w:p>
    <w:p>
      <w:pPr>
        <w:pStyle w:val="ListParagraph"/>
        <w:numPr>
          <w:ilvl w:val="0"/>
          <w:numId w:val="2"/>
        </w:numPr>
        <w:spacing w:before="50" w:after="50"/>
      </w:pPr>
      <w:r>
        <w:rPr>
          <w:rFonts w:ascii="Arial" w:cs="Arial" w:eastAsia="Arial" w:hAnsi="Arial"/>
          <w:color w:val="1A1A1A"/>
          <w:sz w:val="19"/>
          <w:szCs w:val="19"/>
        </w:rPr>
        <w:t xml:space="preserve">Define the scope boundary — what is and is not required from the system</w:t>
      </w:r>
    </w:p>
    <w:p>
      <w:pPr>
        <w:pStyle w:val="ListParagraph"/>
        <w:numPr>
          <w:ilvl w:val="0"/>
          <w:numId w:val="2"/>
        </w:numPr>
        <w:spacing w:before="50" w:after="50"/>
      </w:pPr>
      <w:r>
        <w:rPr>
          <w:rFonts w:ascii="Arial" w:cs="Arial" w:eastAsia="Arial" w:hAnsi="Arial"/>
          <w:color w:val="1A1A1A"/>
          <w:sz w:val="19"/>
          <w:szCs w:val="19"/>
        </w:rPr>
        <w:t xml:space="preserve">Establish measurable acceptance criteria for each requirement</w:t>
      </w:r>
    </w:p>
    <w:p>
      <w:pPr>
        <w:pStyle w:val="ListParagraph"/>
        <w:numPr>
          <w:ilvl w:val="0"/>
          <w:numId w:val="2"/>
        </w:numPr>
        <w:spacing w:before="50" w:after="50"/>
      </w:pPr>
      <w:r>
        <w:rPr>
          <w:rFonts w:ascii="Arial" w:cs="Arial" w:eastAsia="Arial" w:hAnsi="Arial"/>
          <w:color w:val="1A1A1A"/>
          <w:sz w:val="19"/>
          <w:szCs w:val="19"/>
        </w:rPr>
        <w:t xml:space="preserve">Serve as the baseline for change control throughout the project</w:t>
      </w:r>
    </w:p>
    <w:p>
      <w:pPr>
        <w:pStyle w:val="ListParagraph"/>
        <w:numPr>
          <w:ilvl w:val="0"/>
          <w:numId w:val="2"/>
        </w:numPr>
        <w:spacing w:before="50" w:after="50"/>
      </w:pPr>
      <w:r>
        <w:rPr>
          <w:rFonts w:ascii="Arial" w:cs="Arial" w:eastAsia="Arial" w:hAnsi="Arial"/>
          <w:color w:val="1A1A1A"/>
          <w:sz w:val="19"/>
          <w:szCs w:val="19"/>
        </w:rPr>
        <w:t xml:space="preserve">Enable the development of the Functional Requirements Document (FRD) and test plans</w:t>
      </w:r>
    </w:p>
    <w:p>
      <w:pPr>
        <w:spacing w:before="60" w:after="60"/>
      </w:pPr>
      <w:r>
        <w:t xml:space="preserve"/>
      </w:r>
    </w:p>
    <w:p>
      <w:pPr>
        <w:pStyle w:val="Heading2"/>
        <w:spacing w:before="240" w:after="100"/>
      </w:pPr>
      <w:r>
        <w:rPr>
          <w:rFonts w:ascii="Arial" w:cs="Arial" w:eastAsia="Arial" w:hAnsi="Arial"/>
          <w:b/>
          <w:bCs/>
          <w:color w:val="2E75B6"/>
          <w:sz w:val="22"/>
          <w:szCs w:val="22"/>
        </w:rPr>
        <w:t xml:space="preserve">1.2  How to Use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Audience</w:t>
            </w:r>
          </w:p>
        </w:tc>
        <w:tc>
          <w:tcPr>
            <w:tcW w:type="dxa" w:w="67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to Use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Business Stakeholders / Sponsor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Review and sign off requirements in Sections 4–7 to confirm they accurately represent your needs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Business Analyst</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Use as the baseline document for all requirements; manage changes via change control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Development / Engineering Team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Use as input to technical design and the FRD; raise queries via formal change request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Test / QA Team</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Derive test cases from the acceptance criteria in each requirement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Compliance &amp; Legal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Review Section 7 (Regulatory Requirements) for audit and compliance sign-off</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2.  Project Overview &amp; Context</w:t>
      </w:r>
    </w:p>
    <w:p>
      <w:pPr>
        <w:pStyle w:val="Heading2"/>
        <w:spacing w:before="240" w:after="100"/>
      </w:pPr>
      <w:r>
        <w:rPr>
          <w:rFonts w:ascii="Arial" w:cs="Arial" w:eastAsia="Arial" w:hAnsi="Arial"/>
          <w:b/>
          <w:bCs/>
          <w:color w:val="2E75B6"/>
          <w:sz w:val="22"/>
          <w:szCs w:val="22"/>
        </w:rPr>
        <w:t xml:space="preserve">2.1  Project Background</w:t>
      </w:r>
    </w:p>
    <w:p>
      <w:pPr>
        <w:spacing w:before="60" w:after="80"/>
      </w:pPr>
      <w:r>
        <w:rPr>
          <w:rFonts w:ascii="Arial" w:cs="Arial" w:eastAsia="Arial" w:hAnsi="Arial"/>
          <w:color w:val="1A1A1A"/>
          <w:sz w:val="20"/>
          <w:szCs w:val="20"/>
        </w:rPr>
        <w:t xml:space="preserve">The organisation currently processes over 2 million payment transactions per day across mobile banking, online banking, POS terminals, and API-connected third-party services. Fraud detection is currently handled by a combination of static rule sets and manual review, which is unable to detect fraud in real time or adapt to evolving fraud patterns.</w:t>
      </w:r>
    </w:p>
    <w:p>
      <w:pPr>
        <w:spacing w:before="60" w:after="80"/>
      </w:pPr>
      <w:r>
        <w:rPr>
          <w:rFonts w:ascii="Arial" w:cs="Arial" w:eastAsia="Arial" w:hAnsi="Arial"/>
          <w:color w:val="1A1A1A"/>
          <w:sz w:val="20"/>
          <w:szCs w:val="20"/>
        </w:rPr>
        <w:t xml:space="preserve">The Real-Time Payment Fraud Prevention System (RTPFPS) is a strategic initiative to replace this capability with an intelligent, automated, and scalable platform that monitors every transaction at the point of processing and intervenes when fraud is detected.</w:t>
      </w:r>
    </w:p>
    <w:p>
      <w:pPr>
        <w:spacing w:before="60" w:after="60"/>
      </w:pPr>
      <w:r>
        <w:t xml:space="preserve"/>
      </w:r>
    </w:p>
    <w:p>
      <w:pPr>
        <w:pStyle w:val="Heading2"/>
        <w:spacing w:before="240" w:after="100"/>
      </w:pPr>
      <w:r>
        <w:rPr>
          <w:rFonts w:ascii="Arial" w:cs="Arial" w:eastAsia="Arial" w:hAnsi="Arial"/>
          <w:b/>
          <w:bCs/>
          <w:color w:val="2E75B6"/>
          <w:sz w:val="22"/>
          <w:szCs w:val="22"/>
        </w:rPr>
        <w:t xml:space="preserve">2.2  Business Objectives (from Business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c>
          <w:tcPr>
            <w:tcW w:type="dxa" w:w="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Ref</w:t>
            </w:r>
          </w:p>
        </w:tc>
        <w:tc>
          <w:tcPr>
            <w:tcW w:type="dxa" w:w="5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Business Objective</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Success Metric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BO-01</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Detect and prevent fraudulent transactions in real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&lt; 300ms average detection latency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BO-02</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Reduce direct fraud financial losses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40% reduction in Year 1; 65% by Year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BO-03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Reduce false-positive rate on flagged transactions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&lt; 2% false positive rate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BO-04</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Increase fraud analyst operational efficiency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30% reduction in manual case handling workload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BO-05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Achieve full regulatory compliance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100% audit trail coverage across all flagged transactions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BO-06</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Improve customer trust and experience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25% reduction in fraud-related customer complaints</w:t>
            </w:r>
          </w:p>
        </w:tc>
      </w:tr>
    </w:tbl>
    <w:p>
      <w:pPr>
        <w:spacing w:before="60" w:after="60"/>
      </w:pPr>
      <w:r>
        <w:t xml:space="preserve"/>
      </w:r>
    </w:p>
    <w:p>
      <w:pPr>
        <w:pStyle w:val="Heading2"/>
        <w:spacing w:before="240" w:after="100"/>
      </w:pPr>
      <w:r>
        <w:rPr>
          <w:rFonts w:ascii="Arial" w:cs="Arial" w:eastAsia="Arial" w:hAnsi="Arial"/>
          <w:b/>
          <w:bCs/>
          <w:color w:val="2E75B6"/>
          <w:sz w:val="22"/>
          <w:szCs w:val="22"/>
        </w:rPr>
        <w:t xml:space="preserve">2.3  In Scope / Out of Scope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714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 Scope</w:t>
            </w:r>
          </w:p>
        </w:tc>
        <w:tc>
          <w:tcPr>
            <w:tcW w:type="dxa" w:w="4680"/>
            <w:tcBorders>
              <w:top w:val="single" w:color="CCCCCC" w:sz="1"/>
              <w:left w:val="single" w:color="CCCCCC" w:sz="1"/>
              <w:bottom w:val="single" w:color="CCCCCC" w:sz="1"/>
              <w:right w:val="single" w:color="CCCCCC" w:sz="1"/>
            </w:tcBorders>
            <w:shd w:fill="C000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 of Scope</w:t>
            </w:r>
          </w:p>
        </w:tc>
      </w:tr>
      <w:tr>
        <w:tc>
          <w:tcPr>
            <w:tcW w:type="dxa" w:w="468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tcPr>
          <w:p>
            <w:pPr>
              <w:pStyle w:val="ListParagraph"/>
              <w:numPr>
                <w:ilvl w:val="0"/>
                <w:numId w:val="2"/>
              </w:numPr>
              <w:spacing w:before="50" w:after="50"/>
            </w:pPr>
            <w:r>
              <w:rPr>
                <w:rFonts w:ascii="Arial" w:cs="Arial" w:eastAsia="Arial" w:hAnsi="Arial"/>
                <w:color w:val="1A1A1A"/>
                <w:sz w:val="19"/>
                <w:szCs w:val="19"/>
              </w:rPr>
              <w:t xml:space="preserve">Real-time transaction monitoring (all digital channels)</w:t>
            </w:r>
          </w:p>
          <w:p>
            <w:pPr>
              <w:pStyle w:val="ListParagraph"/>
              <w:numPr>
                <w:ilvl w:val="0"/>
                <w:numId w:val="2"/>
              </w:numPr>
              <w:spacing w:before="50" w:after="50"/>
            </w:pPr>
            <w:r>
              <w:rPr>
                <w:rFonts w:ascii="Arial" w:cs="Arial" w:eastAsia="Arial" w:hAnsi="Arial"/>
                <w:color w:val="1A1A1A"/>
                <w:sz w:val="19"/>
                <w:szCs w:val="19"/>
              </w:rPr>
              <w:t xml:space="preserve">Rules-based fraud detection engine</w:t>
            </w:r>
          </w:p>
          <w:p>
            <w:pPr>
              <w:pStyle w:val="ListParagraph"/>
              <w:numPr>
                <w:ilvl w:val="0"/>
                <w:numId w:val="2"/>
              </w:numPr>
              <w:spacing w:before="50" w:after="50"/>
            </w:pPr>
            <w:r>
              <w:rPr>
                <w:rFonts w:ascii="Arial" w:cs="Arial" w:eastAsia="Arial" w:hAnsi="Arial"/>
                <w:color w:val="1A1A1A"/>
                <w:sz w:val="19"/>
                <w:szCs w:val="19"/>
              </w:rPr>
              <w:t xml:space="preserve">ML-augmented anomaly detection</w:t>
            </w:r>
          </w:p>
          <w:p>
            <w:pPr>
              <w:pStyle w:val="ListParagraph"/>
              <w:numPr>
                <w:ilvl w:val="0"/>
                <w:numId w:val="2"/>
              </w:numPr>
              <w:spacing w:before="50" w:after="50"/>
            </w:pPr>
            <w:r>
              <w:rPr>
                <w:rFonts w:ascii="Arial" w:cs="Arial" w:eastAsia="Arial" w:hAnsi="Arial"/>
                <w:color w:val="1A1A1A"/>
                <w:sz w:val="19"/>
                <w:szCs w:val="19"/>
              </w:rPr>
              <w:t xml:space="preserve">Fraud analyst case management dashboard</w:t>
            </w:r>
          </w:p>
          <w:p>
            <w:pPr>
              <w:pStyle w:val="ListParagraph"/>
              <w:numPr>
                <w:ilvl w:val="0"/>
                <w:numId w:val="2"/>
              </w:numPr>
              <w:spacing w:before="50" w:after="50"/>
            </w:pPr>
            <w:r>
              <w:rPr>
                <w:rFonts w:ascii="Arial" w:cs="Arial" w:eastAsia="Arial" w:hAnsi="Arial"/>
                <w:color w:val="1A1A1A"/>
                <w:sz w:val="19"/>
                <w:szCs w:val="19"/>
              </w:rPr>
              <w:t xml:space="preserve">Automated alerts (email, SMS, in-app)</w:t>
            </w:r>
          </w:p>
          <w:p>
            <w:pPr>
              <w:pStyle w:val="ListParagraph"/>
              <w:numPr>
                <w:ilvl w:val="0"/>
                <w:numId w:val="2"/>
              </w:numPr>
              <w:spacing w:before="50" w:after="50"/>
            </w:pPr>
            <w:r>
              <w:rPr>
                <w:rFonts w:ascii="Arial" w:cs="Arial" w:eastAsia="Arial" w:hAnsi="Arial"/>
                <w:color w:val="1A1A1A"/>
                <w:sz w:val="19"/>
                <w:szCs w:val="19"/>
              </w:rPr>
              <w:t xml:space="preserve">Integration with core banking, card, and identity systems</w:t>
            </w:r>
          </w:p>
          <w:p>
            <w:pPr>
              <w:pStyle w:val="ListParagraph"/>
              <w:numPr>
                <w:ilvl w:val="0"/>
                <w:numId w:val="2"/>
              </w:numPr>
              <w:spacing w:before="50" w:after="50"/>
            </w:pPr>
            <w:r>
              <w:rPr>
                <w:rFonts w:ascii="Arial" w:cs="Arial" w:eastAsia="Arial" w:hAnsi="Arial"/>
                <w:color w:val="1A1A1A"/>
                <w:sz w:val="19"/>
                <w:szCs w:val="19"/>
              </w:rPr>
              <w:t xml:space="preserve">Compliance audit logging and reporting</w:t>
            </w:r>
          </w:p>
          <w:p>
            <w:pPr>
              <w:pStyle w:val="ListParagraph"/>
              <w:numPr>
                <w:ilvl w:val="0"/>
                <w:numId w:val="2"/>
              </w:numPr>
              <w:spacing w:before="50" w:after="50"/>
            </w:pPr>
            <w:r>
              <w:rPr>
                <w:rFonts w:ascii="Arial" w:cs="Arial" w:eastAsia="Arial" w:hAnsi="Arial"/>
                <w:color w:val="1A1A1A"/>
                <w:sz w:val="19"/>
                <w:szCs w:val="19"/>
              </w:rPr>
              <w:t xml:space="preserve">UAT and fraud operations team training</w:t>
            </w:r>
          </w:p>
        </w:tc>
        <w:tc>
          <w:tcPr>
            <w:tcW w:type="dxa" w:w="468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tcPr>
          <w:p>
            <w:pPr>
              <w:pStyle w:val="ListParagraph"/>
              <w:numPr>
                <w:ilvl w:val="0"/>
                <w:numId w:val="2"/>
              </w:numPr>
              <w:spacing w:before="50" w:after="50"/>
            </w:pPr>
            <w:r>
              <w:rPr>
                <w:rFonts w:ascii="Arial" w:cs="Arial" w:eastAsia="Arial" w:hAnsi="Arial"/>
                <w:color w:val="888888"/>
                <w:sz w:val="19"/>
                <w:szCs w:val="19"/>
              </w:rPr>
              <w:t xml:space="preserve">Chargeback and dispute management</w:t>
            </w:r>
          </w:p>
          <w:p>
            <w:pPr>
              <w:pStyle w:val="ListParagraph"/>
              <w:numPr>
                <w:ilvl w:val="0"/>
                <w:numId w:val="2"/>
              </w:numPr>
              <w:spacing w:before="50" w:after="50"/>
            </w:pPr>
            <w:r>
              <w:rPr>
                <w:rFonts w:ascii="Arial" w:cs="Arial" w:eastAsia="Arial" w:hAnsi="Arial"/>
                <w:color w:val="888888"/>
                <w:sz w:val="19"/>
                <w:szCs w:val="19"/>
              </w:rPr>
              <w:t xml:space="preserve">Core banking system replacement</w:t>
            </w:r>
          </w:p>
          <w:p>
            <w:pPr>
              <w:pStyle w:val="ListParagraph"/>
              <w:numPr>
                <w:ilvl w:val="0"/>
                <w:numId w:val="2"/>
              </w:numPr>
              <w:spacing w:before="50" w:after="50"/>
            </w:pPr>
            <w:r>
              <w:rPr>
                <w:rFonts w:ascii="Arial" w:cs="Arial" w:eastAsia="Arial" w:hAnsi="Arial"/>
                <w:color w:val="888888"/>
                <w:sz w:val="19"/>
                <w:szCs w:val="19"/>
              </w:rPr>
              <w:t xml:space="preserve">Non-payment fraud (loans, insurance)</w:t>
            </w:r>
          </w:p>
          <w:p>
            <w:pPr>
              <w:pStyle w:val="ListParagraph"/>
              <w:numPr>
                <w:ilvl w:val="0"/>
                <w:numId w:val="2"/>
              </w:numPr>
              <w:spacing w:before="50" w:after="50"/>
            </w:pPr>
            <w:r>
              <w:rPr>
                <w:rFonts w:ascii="Arial" w:cs="Arial" w:eastAsia="Arial" w:hAnsi="Arial"/>
                <w:color w:val="888888"/>
                <w:sz w:val="19"/>
                <w:szCs w:val="19"/>
              </w:rPr>
              <w:t xml:space="preserve">Customer-facing fraud self-report portal (Phase 2)</w:t>
            </w:r>
          </w:p>
          <w:p>
            <w:pPr>
              <w:pStyle w:val="ListParagraph"/>
              <w:numPr>
                <w:ilvl w:val="0"/>
                <w:numId w:val="2"/>
              </w:numPr>
              <w:spacing w:before="50" w:after="50"/>
            </w:pPr>
            <w:r>
              <w:rPr>
                <w:rFonts w:ascii="Arial" w:cs="Arial" w:eastAsia="Arial" w:hAnsi="Arial"/>
                <w:color w:val="888888"/>
                <w:sz w:val="19"/>
                <w:szCs w:val="19"/>
              </w:rPr>
              <w:t xml:space="preserve">International regulatory compliance outside UK/EU</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3.  Stakeholder Analysis &amp; Requirements Summary</w:t>
      </w:r>
    </w:p>
    <w:p>
      <w:pPr>
        <w:spacing w:before="60" w:after="80"/>
      </w:pPr>
      <w:r>
        <w:rPr>
          <w:rFonts w:ascii="Arial" w:cs="Arial" w:eastAsia="Arial" w:hAnsi="Arial"/>
          <w:color w:val="1A1A1A"/>
          <w:sz w:val="20"/>
          <w:szCs w:val="20"/>
        </w:rPr>
        <w:t xml:space="preserve">The following stakeholders were engaged during requirements elicitation through structured interviews, workshops, and document review. Each stakeholder group's primary needs are summarised below and traced to formal requirements in Section 4.</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160"/>
        <w:gridCol w:w="1400"/>
        <w:gridCol w:w="1200"/>
      </w:tblGrid>
      <w:tr>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Stakeholder</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c>
          <w:tcPr>
            <w:tcW w:type="dxa" w:w="3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Primary Needs / Goals</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Engagement Method</w:t>
            </w:r>
          </w:p>
        </w:tc>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 Refs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Chief Risk Officer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Sponsor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Real-time loss prevention, regulatory assurance, board-level reporting on fraud KPIs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1:1 Interview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BR-01–05</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Head of Fraud Operations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Business Owner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Efficient analyst workflow, accurate fraud scoring, manageable alert volumes, audit trails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Workshop x3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BR-06–15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Fraud Analysts (8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Primary End Users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Clear case queue, transaction context, decision tools, fast resolution workflow, notes &amp; audit 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Focus Group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BR-06–12</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Compliance &amp; Legal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Advisor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Full regulatory data retention, PCI-DSS/PSD2 compliance, GDPR-safe data handling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Document Review + Interview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BR-28–35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IT / Engineering Lead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Technical Owner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Clear API specs, low-latency SLAs, scalability requirements, integration standards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Workshop x2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BR-16–22</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Data Science Team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SME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Access to clean historical data, model retraining cadence, champion-challenger capability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Workshop x1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BR-23–27</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Customer Experience Team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Stakeholder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Minimal false positives, clear customer communication on blocked transactions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Survey + Interview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BR-13–14</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Finance Team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Stakeholder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Cost tracking, fraud loss reporting, chargeback data feed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1:1 Interview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BR-36–38</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4.  Business Requirements</w:t>
      </w:r>
    </w:p>
    <w:p>
      <w:pPr>
        <w:spacing w:before="60" w:after="80"/>
      </w:pPr>
      <w:r>
        <w:rPr>
          <w:rFonts w:ascii="Arial" w:cs="Arial" w:eastAsia="Arial" w:hAnsi="Arial"/>
          <w:color w:val="1A1A1A"/>
          <w:sz w:val="20"/>
          <w:szCs w:val="20"/>
        </w:rPr>
        <w:t xml:space="preserve">Business requirements describe what the system must achieve from a business perspective. They are expressed in business language and are independent of any specific technical implementation. Each requirement includes a unique ID, priority (using MoSCoW), business source, and measurable acceptance criteria.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2E75B6"/>
                <w:sz w:val="20"/>
                <w:szCs w:val="20"/>
              </w:rPr>
              <w:t xml:space="preserve">MoSCoW Priority Key:</w:t>
            </w:r>
          </w:p>
          <w:p>
            <w:pPr>
              <w:spacing w:before="40"/>
            </w:pPr>
            <w:r>
              <w:rPr>
                <w:rFonts w:ascii="Arial" w:cs="Arial" w:eastAsia="Arial" w:hAnsi="Arial"/>
                <w:color w:val="1A1A1A"/>
                <w:sz w:val="19"/>
                <w:szCs w:val="19"/>
              </w:rPr>
              <w:t xml:space="preserve">Must Have = Critical — system cannot go live without this.   Should Have = Important — strong business value, include if possible.   Could Have = Desirable — included if time and budget allow.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1"/>
                <w:szCs w:val="21"/>
              </w:rPr>
              <w:t xml:space="preserve">4.1  Fraud Detection &amp; Monitoring Requirements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400"/>
        <w:gridCol w:w="900"/>
        <w:gridCol w:w="960"/>
        <w:gridCol w:w="1600"/>
      </w:tblGrid>
      <w:tr>
        <w:tc>
          <w:tcPr>
            <w:tcW w:type="dxa" w:w="11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 ID</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3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 Statement</w:t>
            </w:r>
          </w:p>
        </w:tc>
        <w:tc>
          <w:tcPr>
            <w:tcW w:type="dxa" w:w="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c>
          <w:tcPr>
            <w:tcW w:type="dxa" w:w="9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Real-Time Detection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must monitor 100% of payment transactions across all digital channels at the point of processing, before a transaction is completed.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CRO / BO-01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All transactions flagged or cleared within 300ms; zero transactions bypass the system</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BR-02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Fraud Scoring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must assign a fraud risk score (0–100) to every transaction, based on a combination of rules and ML model outputs.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Fraud Ops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Every transaction has a risk score; score updates in real time as new signals are received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Threshold-Based Blocking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must automatically block or hold transactions that exceed a configurable fraud risk threshold, pending analyst review.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CRO / Fraud Ops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Transactions above threshold are blocked within 300ms; threshold is configurable by authorised admin</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BR-04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Multi-Channel Coverage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must cover all payment channels including mobile app, online banking, POS, ATM, and open banking API payments.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BO-01</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Test transactions on each channel are correctly monitored and scored in UAT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Fraud Pattern Rules Engine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must include a configurable rules engine enabling fraud operations to create, edit, activate, and deactivate fraud detection rules without requiring IT changes.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Head of Fraud Ops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Fraud analyst can create and activate a new rule within 10 minutes with no IT involvement</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BR-06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Behavioural Analytics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should build and maintain a behavioural profile per customer to detect anomalies such as unusual transaction times, locations, amounts, and merchant categories.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55A11"/>
                <w:sz w:val="19"/>
                <w:szCs w:val="19"/>
              </w:rPr>
              <w:t xml:space="preserve">Should Have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Data Science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Anomaly triggers fire correctly when transaction deviates from 90-day behavioural baseline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Velocity Checks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must detect and flag velocity-based fraud patterns, including multiple transactions in a short time window, rapid account balance drain, and repeated declined transactions.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Fraud Ops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Velocity rules fire within configured time windows in UAT with 100% accuracy</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BR-08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Device &amp; Location Intelligence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should incorporate device fingerprinting and geolocation data to flag transactions from unrecognised devices or geographically impossible journeys.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55A11"/>
                <w:sz w:val="19"/>
                <w:szCs w:val="19"/>
              </w:rPr>
              <w:t xml:space="preserve">Should Have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IT Lead / Fraud Ops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Device and location signals are captured and included in fraud score for relevant channels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Card-Not-Present Fraud Detection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must include specific detection logic for Card-Not-Present (CNP) fraud, including 3DS challenge triggers for suspicious online card transactions.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Fraud Ops / Compliance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CNP fraud scenarios from UAT test pack are correctly flagged with appropriate 3DS challenge</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BR-10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Synthetic Identity Detection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should flag accounts exhibiting synthetic identity fraud signals such as no transaction history, rapid credit utilisation, and mismatched identity data.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55A11"/>
                <w:sz w:val="19"/>
                <w:szCs w:val="19"/>
              </w:rPr>
              <w:t xml:space="preserve">Should Have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Fraud Ops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Test scenarios for synthetic identity fraud are flagged correctly in UAT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1"/>
                <w:szCs w:val="21"/>
              </w:rPr>
              <w:t xml:space="preserve">4.2  Case Management &amp; Analyst Workflow Requirements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400"/>
        <w:gridCol w:w="900"/>
        <w:gridCol w:w="960"/>
        <w:gridCol w:w="1600"/>
      </w:tblGrid>
      <w:tr>
        <w:tc>
          <w:tcPr>
            <w:tcW w:type="dxa" w:w="11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 ID</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3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 Statement</w:t>
            </w:r>
          </w:p>
        </w:tc>
        <w:tc>
          <w:tcPr>
            <w:tcW w:type="dxa" w:w="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c>
          <w:tcPr>
            <w:tcW w:type="dxa" w:w="9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Case Queue Dashboard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must provide fraud analysts with a real-time case management dashboard showing all flagged transactions, prioritised by risk score.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Fraud Analysts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Dashboard loads within 3 seconds; displays all open cases with risk score, amount, and channel</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BR-12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Transaction Context View</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Analysts must be able to view full transaction context including customer profile, account history, device data, location, and the fraud signals that triggered the alert.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Fraud Analysts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All context data visible in a single case view; no need to access other systems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Decision Actions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Analysts must be able to approve, decline, or escalate a flagged transaction directly from the case management interface.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Fraud Analysts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All three actions available in case view; decision is applied to transaction within 60 seconds</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BR-14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Case Notes &amp; Audit Log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Every analyst decision must be logged with a timestamp, analyst ID, decision made, and optional free-text note. This log must be immutable.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Compliance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Audit log entries cannot be edited or deleted; all decisions captured in real time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Customer Communication Trigger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When a transaction is blocked, the system should automatically trigger a customer notification (SMS and in-app message) within 60 seconds of the block.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55A11"/>
                <w:sz w:val="19"/>
                <w:szCs w:val="19"/>
              </w:rPr>
              <w:t xml:space="preserve">Should Have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CX Team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Customer notification received within 60 seconds of block in UAT test scenarios</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BR-16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Workload Assignment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should support rule-based automatic assignment of fraud cases to analysts based on workload, specialisation, and case type.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55A11"/>
                <w:sz w:val="19"/>
                <w:szCs w:val="19"/>
              </w:rPr>
              <w:t xml:space="preserve">Should Have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Head of Fraud Ops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Cases are distributed evenly across active analysts; reassignment is possible by supervisors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BR-17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Supervisor Escalation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Analysts must be able to escalate complex cases to a senior analyst or supervisor, with case ownership transferred and full history retained.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Fraud Ops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Escalation completes within 30 seconds; full case history visible to receiving analyst</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BR-18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Case Closure &amp; Outcome Tagging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Analysts must tag every resolved case with a fraud outcome (confirmed fraud, false positive, suspicious but approved) to support model training and reporting.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Data Science / Fraud Ops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Outcome tag is mandatory before case can be closed; all tag options available in UAT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1"/>
                <w:szCs w:val="21"/>
              </w:rPr>
              <w:t xml:space="preserve">4.3  Alerting, Notification &amp; Integration Requirements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400"/>
        <w:gridCol w:w="900"/>
        <w:gridCol w:w="960"/>
        <w:gridCol w:w="1600"/>
      </w:tblGrid>
      <w:tr>
        <w:tc>
          <w:tcPr>
            <w:tcW w:type="dxa" w:w="11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 ID</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3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 Statement</w:t>
            </w:r>
          </w:p>
        </w:tc>
        <w:tc>
          <w:tcPr>
            <w:tcW w:type="dxa" w:w="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c>
          <w:tcPr>
            <w:tcW w:type="dxa" w:w="9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BR-19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Real-Time Alerting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must generate real-time alerts to the fraud operations team for all high-risk transactions (score &gt; 80) within 30 seconds of detection.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Fraud Ops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All high-risk transactions generate alerts within 30 seconds in performance testing</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BR-20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Alert Channel Configuration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Fraud operations managers must be able to configure alert delivery channels (email, SMS, dashboard notification, Slack/Teams) per alert type and severity.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55A11"/>
                <w:sz w:val="19"/>
                <w:szCs w:val="19"/>
              </w:rPr>
              <w:t xml:space="preserve">Should Have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Head of Fraud Ops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Configuration UI allows channel selection per rule; changes are effective immediately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Core Banking Integration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must integrate with the core banking platform via REST API to access account balance, transaction history, and to place transaction holds.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IT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Integration passes 100% of API integration test cases; data returned within 200ms</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BR-22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Card Management Integration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must integrate with the card management system to enable real-time card block, unblock, and 3DS challenge triggers.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IT Lead / Fraud Ops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Card block/unblock actions are reflected in card management system within 5 seconds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Identity &amp; KYC System Integration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should integrate with the identity verification and KYC platform to cross-reference customer identity data during fraud scoring.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55A11"/>
                <w:sz w:val="19"/>
                <w:szCs w:val="19"/>
              </w:rPr>
              <w:t xml:space="preserve">Should Have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Compliance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KYC data is returned and used in fraud score within 500ms; integration tested in UAT</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BR-24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Payment Network Integration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should integrate with Visa/Mastercard fraud data feeds to enrich transaction risk scoring with network-level intelligence.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E7145"/>
                <w:sz w:val="19"/>
                <w:szCs w:val="19"/>
              </w:rPr>
              <w:t xml:space="preserve">Could Have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IT Lead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Network data feed is consumed and contributes to fraud score when available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Webhook / Event Streaming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must publish real-time fraud events to an event streaming platform (e.g., Kafka) to enable downstream system integration and audit logging.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IT Lead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All fraud events are published to event stream within 100ms of decision; format is documented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r>
              <w:rPr>
                <w:rFonts w:ascii="Arial" w:cs="Arial" w:eastAsia="Arial" w:hAnsi="Arial"/>
                <w:b/>
                <w:bCs/>
                <w:color w:val="FFFFFF"/>
                <w:sz w:val="21"/>
                <w:szCs w:val="21"/>
              </w:rPr>
              <w:t xml:space="preserve">4.4  Reporting, Analytics &amp; Management Information Requirements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400"/>
        <w:gridCol w:w="900"/>
        <w:gridCol w:w="960"/>
        <w:gridCol w:w="1600"/>
      </w:tblGrid>
      <w:tr>
        <w:tc>
          <w:tcPr>
            <w:tcW w:type="dxa" w:w="11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 ID</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3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 Statement</w:t>
            </w:r>
          </w:p>
        </w:tc>
        <w:tc>
          <w:tcPr>
            <w:tcW w:type="dxa" w:w="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c>
          <w:tcPr>
            <w:tcW w:type="dxa" w:w="9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Fraud MI Dashboard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must provide a management information dashboard showing daily, weekly, and monthly fraud KPIs including fraud volume, value, catch rate, and false positive rate.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CRO / Fraud Ops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Dashboard available to senior users; data refreshes every 15 minutes; all 6 KPIs displayed</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BR-27</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Scheduled Reports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must support scheduled automated reports (daily, weekly, monthly) delivered by email to configurable recipient lists.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Finance / Compliance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Reports generated on schedule without manual intervention; recipient list is configurable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BR-28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Ad-Hoc Query &amp; Export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Fraud analysts and managers must be able to run ad-hoc queries on transaction data and export results in CSV and PDF formats.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55A11"/>
                <w:sz w:val="19"/>
                <w:szCs w:val="19"/>
              </w:rPr>
              <w:t xml:space="preserve">Should Have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Fraud Ops / Finance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Query results exportable in both formats; export of 10,000 rows completes within 60 seconds</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BR-29</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ML Model Performance Reporting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should provide a model performance report showing precision, recall, F1 score, and false positive rate for each ML model in production.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55A11"/>
                <w:sz w:val="19"/>
                <w:szCs w:val="19"/>
              </w:rPr>
              <w:t xml:space="preserve">Should Have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Data Science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Model performance report available to data science team; updates daily after batch scoring run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Regulatory Reporting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must generate pre-formatted regulatory reports aligned to FCA, PSD2, and PCI-DSS reporting requirements, including Suspicious Activity Report (SAR) support.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Compliance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All regulatory report templates validated by Compliance team during UAT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C8D" w:val="clear"/>
            <w:tcMar>
              <w:top w:type="dxa" w:w="100"/>
              <w:left w:type="dxa" w:w="200"/>
              <w:bottom w:type="dxa" w:w="100"/>
              <w:right w:type="dxa" w:w="200"/>
            </w:tcMar>
          </w:tcPr>
          <w:p>
            <w:r>
              <w:rPr>
                <w:rFonts w:ascii="Arial" w:cs="Arial" w:eastAsia="Arial" w:hAnsi="Arial"/>
                <w:b/>
                <w:bCs/>
                <w:color w:val="FFFFFF"/>
                <w:sz w:val="21"/>
                <w:szCs w:val="21"/>
              </w:rPr>
              <w:t xml:space="preserve">4.5  Regulatory, Compliance &amp; Data Requirements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400"/>
        <w:gridCol w:w="900"/>
        <w:gridCol w:w="960"/>
        <w:gridCol w:w="1600"/>
      </w:tblGrid>
      <w:tr>
        <w:tc>
          <w:tcPr>
            <w:tcW w:type="dxa" w:w="11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 ID</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3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 Statement</w:t>
            </w:r>
          </w:p>
        </w:tc>
        <w:tc>
          <w:tcPr>
            <w:tcW w:type="dxa" w:w="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c>
          <w:tcPr>
            <w:tcW w:type="dxa" w:w="9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BR-31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Audit Trail Retention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All fraud decisions, alerts, analyst actions, and system events must be stored in an immutable audit log retained for a minimum of 7 years.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Compliance / FCA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Audit log entries pass immutability test; 7-year retention policy confirmed by storage architecture review</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BR-32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GDPR Data Minimisation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must only collect and process personal data that is necessary for fraud detection; all personal data must be identifiable as a specific data category.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Legal / Compliance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Data audit confirms no excess personal data collected; data categories mapped in Data Privacy Impact Assessment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Data Encryption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All personal and financial data must be encrypted at rest (AES-256) and in transit (TLS 1.3 or above).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IT / Compliance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Encryption standards confirmed by security penetration test; no unencrypted data found in storage or transit</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BR-34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PCI-DSS Compliance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must be designed and operated in compliance with PCI-DSS v4.0 standards for all cardholder data environments.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Compliance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PCI-DSS compliance confirmed by QSA audit prior to go-live</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Right to Erasure (GDPR Art. 17)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must support the ability to erase an individual customer's personal data upon a valid GDPR erasure request, except where legal retention obligations apply.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Legal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Erasure workflow tested end-to-end; audit trail of erasure retained; legal hold categories correctly excluded</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BR-36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PSD2 Strong Customer Authentication</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For transactions that trigger a fraud hold, the system must support Strong Customer Authentication (SCA) challenges compliant with PSD2 RTS requirements.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Compliance / IT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SCA flows pass PSD2 RTS compliance checklist validated by Compliance team</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6E6E" w:val="clear"/>
            <w:tcMar>
              <w:top w:type="dxa" w:w="100"/>
              <w:left w:type="dxa" w:w="200"/>
              <w:bottom w:type="dxa" w:w="100"/>
              <w:right w:type="dxa" w:w="200"/>
            </w:tcMar>
          </w:tcPr>
          <w:p>
            <w:r>
              <w:rPr>
                <w:rFonts w:ascii="Arial" w:cs="Arial" w:eastAsia="Arial" w:hAnsi="Arial"/>
                <w:b/>
                <w:bCs/>
                <w:color w:val="FFFFFF"/>
                <w:sz w:val="21"/>
                <w:szCs w:val="21"/>
              </w:rPr>
              <w:t xml:space="preserve">4.6  Financial Reporting &amp; Operational Requirements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3400"/>
        <w:gridCol w:w="900"/>
        <w:gridCol w:w="960"/>
        <w:gridCol w:w="1600"/>
      </w:tblGrid>
      <w:tr>
        <w:tc>
          <w:tcPr>
            <w:tcW w:type="dxa" w:w="11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 ID</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3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 Statement</w:t>
            </w:r>
          </w:p>
        </w:tc>
        <w:tc>
          <w:tcPr>
            <w:tcW w:type="dxa" w:w="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c>
          <w:tcPr>
            <w:tcW w:type="dxa" w:w="9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BR-37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Fraud Loss Reporting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must produce a daily fraud loss report showing total value and volume of confirmed fraud by channel, fraud type, and customer segment.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Finance / CRO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Daily report produced automatically by 08:00; Finance team validates content in UAT</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BR-38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Chargeback Data Feed</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should provide a data feed of confirmed fraud cases to the chargeback processing team to initiate recovery actions.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55A11"/>
                <w:sz w:val="19"/>
                <w:szCs w:val="19"/>
              </w:rPr>
              <w:t xml:space="preserve">Should Have</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666666"/>
                <w:sz w:val="19"/>
                <w:szCs w:val="19"/>
              </w:rPr>
              <w:t xml:space="preserve">Finance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Chargeback data feed tested end-to-end with Finance team's receiving system in UAT</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5.  Non-Functional Requirements (NFRs)</w:t>
      </w:r>
    </w:p>
    <w:p>
      <w:pPr>
        <w:spacing w:before="60" w:after="80"/>
      </w:pPr>
      <w:r>
        <w:rPr>
          <w:rFonts w:ascii="Arial" w:cs="Arial" w:eastAsia="Arial" w:hAnsi="Arial"/>
          <w:color w:val="1A1A1A"/>
          <w:sz w:val="20"/>
          <w:szCs w:val="20"/>
        </w:rPr>
        <w:t xml:space="preserve">Non-functional requirements define the quality attributes and constraints the system must satisfy — not what it does, but how well it performs. These requirements are equally important to functional requirements and must be verified during testing.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600"/>
        <w:gridCol w:w="3560"/>
        <w:gridCol w:w="2000"/>
      </w:tblGrid>
      <w:tr>
        <w:tc>
          <w:tcPr>
            <w:tcW w:type="dxa" w:w="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NFR ID</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Attribute</w:t>
            </w:r>
          </w:p>
        </w:tc>
        <w:tc>
          <w:tcPr>
            <w:tcW w:type="dxa" w:w="35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 Approach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NFR-01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6E6E"/>
                <w:sz w:val="19"/>
                <w:szCs w:val="19"/>
              </w:rPr>
              <w:t xml:space="preserve">Performance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Transaction Latency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must process and score each transaction within 300ms (P95) under normal operating conditions.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Performance testing at 2x peak load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NFR-02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D6E6E"/>
                <w:sz w:val="19"/>
                <w:szCs w:val="19"/>
              </w:rPr>
              <w:t xml:space="preserve">Performance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Throughput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must support a minimum of 2,000 transactions per second (TPS) at peak load.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Load testing with simulated peak traffic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NFR-03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6E6E"/>
                <w:sz w:val="19"/>
                <w:szCs w:val="19"/>
              </w:rPr>
              <w:t xml:space="preserve">Availability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System Uptime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must achieve 99.95% availability (max ~4.4 hours downtime per year).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Monitoring reports; SLA verified over 30-day UAT period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NFR-04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D6E6E"/>
                <w:sz w:val="19"/>
                <w:szCs w:val="19"/>
              </w:rPr>
              <w:t xml:space="preserve">Availability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Recovery Time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Recovery Time Objective (RTO) must be &lt; 30 minutes; Recovery Point Objective (RPO) must be &lt; 5 minutes.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DR failover test executed in testing environment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NFR-05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6E6E"/>
                <w:sz w:val="19"/>
                <w:szCs w:val="19"/>
              </w:rPr>
              <w:t xml:space="preserve">Scalability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Horizontal Scaling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must automatically scale horizontally to handle a 3x increase in transaction volume without manual intervention.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Stress test with 3x peak load; auto-scale verified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NFR-06</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D6E6E"/>
                <w:sz w:val="19"/>
                <w:szCs w:val="19"/>
              </w:rPr>
              <w:t xml:space="preserve">Security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Access Control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Role-based access control (RBAC) must be enforced; analysts can only access cases assigned to or visible in their queue.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Security test; pen test of RBAC model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NFR-07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6E6E"/>
                <w:sz w:val="19"/>
                <w:szCs w:val="19"/>
              </w:rPr>
              <w:t xml:space="preserve">Security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Multi-Factor Auth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All system users must authenticate using multi-factor authentication (MFA); SSO with the organisation's identity provider is required.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MFA enforcement tested for all user roles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NFR-08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D6E6E"/>
                <w:sz w:val="19"/>
                <w:szCs w:val="19"/>
              </w:rPr>
              <w:t xml:space="preserve">Security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Penetration Testing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system must pass an external penetration test with no Critical or High severity findings before go-live.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External pen test report accepted by CISO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NFR-09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6E6E"/>
                <w:sz w:val="19"/>
                <w:szCs w:val="19"/>
              </w:rPr>
              <w:t xml:space="preserve">Usability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Analyst UI Response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case management dashboard must load within 3 seconds and all analyst actions must respond within 2 seconds.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UI performance test with 50 concurrent analyst sessions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NFR-10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D6E6E"/>
                <w:sz w:val="19"/>
                <w:szCs w:val="19"/>
              </w:rPr>
              <w:t xml:space="preserve">Usability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Accessibility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user interface must comply with WCAG 2.1 AA accessibility standards.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Automated accessibility scan + manual review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NFR-11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6E6E"/>
                <w:sz w:val="19"/>
                <w:szCs w:val="19"/>
              </w:rPr>
              <w:t xml:space="preserve">Maintainability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Rule Configuration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Fraud rules must be configurable by trained fraud operations staff without requiring code changes or IT tickets.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Fraud analyst creates and activates rule within 10 minutes unaided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NFR-12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D6E6E"/>
                <w:sz w:val="19"/>
                <w:szCs w:val="19"/>
              </w:rPr>
              <w:t xml:space="preserve">Auditability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Log Completeness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System logs must capture every transaction decision, user action, and system event with timestamp, user ID, and outcome.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Log completeness verified against audit checklist by Compliance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NFR-13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D6E6E"/>
                <w:sz w:val="19"/>
                <w:szCs w:val="19"/>
              </w:rPr>
              <w:t xml:space="preserve">Portability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Data Export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All data held in the system must be exportable in a standard open format (CSV, JSON, XML) to prevent vendor lock-in.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Full data export performed and validated in UAT</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6.  Business Rules</w:t>
      </w:r>
    </w:p>
    <w:p>
      <w:pPr>
        <w:spacing w:before="60" w:after="80"/>
      </w:pPr>
      <w:r>
        <w:rPr>
          <w:rFonts w:ascii="Arial" w:cs="Arial" w:eastAsia="Arial" w:hAnsi="Arial"/>
          <w:color w:val="1A1A1A"/>
          <w:sz w:val="20"/>
          <w:szCs w:val="20"/>
        </w:rPr>
        <w:t xml:space="preserve">Business rules are policies, constraints, and decision logic that govern how the system must behave. They are distinct from requirements and are applied consistently across all scenarios where the stated condition is met.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260"/>
        <w:gridCol w:w="2000"/>
      </w:tblGrid>
      <w:tr>
        <w:tc>
          <w:tcPr>
            <w:tcW w:type="dxa" w:w="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Rule ID</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Rule Name</w:t>
            </w:r>
          </w:p>
        </w:tc>
        <w:tc>
          <w:tcPr>
            <w:tcW w:type="dxa" w:w="42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Business Rule Statement</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Applies To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5B2C8D"/>
                <w:sz w:val="19"/>
                <w:szCs w:val="19"/>
              </w:rPr>
              <w:t xml:space="preserve">BRU-01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High Risk Auto-Block</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Any transaction with a fraud risk score of 85 or above must be automatically blocked and placed in the analyst queue for review before processing can proceed.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All channels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B2C8D"/>
                <w:sz w:val="19"/>
                <w:szCs w:val="19"/>
              </w:rPr>
              <w:t xml:space="preserve">BRU-02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Medium Risk Challenge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Transactions with a fraud risk score of 60–84 must trigger a Strong Customer Authentication (SCA) challenge before processing is permitted.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Card &amp; digital channels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5B2C8D"/>
                <w:sz w:val="19"/>
                <w:szCs w:val="19"/>
              </w:rPr>
              <w:t xml:space="preserve">BRU-03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Low Risk Pass-Through</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Transactions with a fraud risk score below 60 may proceed without interruption but must still be logged and retained in the audit trail.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All channels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B2C8D"/>
                <w:sz w:val="19"/>
                <w:szCs w:val="19"/>
              </w:rPr>
              <w:t xml:space="preserve">BRU-04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Analyst Review SLA</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All blocked transactions must be reviewed by a fraud analyst within 30 minutes of being placed in the case queue. Breaches are escalated automatically to a supervisor.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Case management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5B2C8D"/>
                <w:sz w:val="19"/>
                <w:szCs w:val="19"/>
              </w:rPr>
              <w:t xml:space="preserve">BRU-05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Repeated Decline Rule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Three or more consecutive payment declines on the same card within a 10-minute window must automatically trigger a card block and analyst case creation.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Card channels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B2C8D"/>
                <w:sz w:val="19"/>
                <w:szCs w:val="19"/>
              </w:rPr>
              <w:t xml:space="preserve">BRU-06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Whitelist Exemption</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Transactions made by accounts on an approved whitelist are exempt from automated blocking but must still be scored and logged.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All channels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5B2C8D"/>
                <w:sz w:val="19"/>
                <w:szCs w:val="19"/>
              </w:rPr>
              <w:t xml:space="preserve">BRU-07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International Transaction Flag</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All transactions from a country not matching the customer's registered address country must receive a minimum risk score uplift of +15 points.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All channels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B2C8D"/>
                <w:sz w:val="19"/>
                <w:szCs w:val="19"/>
              </w:rPr>
              <w:t xml:space="preserve">BRU-08</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New Device Rule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first transaction on a device that has not been previously registered to the customer's account must receive a minimum risk score uplift of +20 points.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Mobile / Online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5B2C8D"/>
                <w:sz w:val="19"/>
                <w:szCs w:val="19"/>
              </w:rPr>
              <w:t xml:space="preserve">BRU-09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SAR Filing Trigger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Confirmed fraud cases exceeding £10,000 in value must automatically generate a Suspicious Activity Report (SAR) draft for Compliance team review within 24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Case management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B2C8D"/>
                <w:sz w:val="19"/>
                <w:szCs w:val="19"/>
              </w:rPr>
              <w:t xml:space="preserve">BRU-10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Data Retention Rule</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Fraud case records, decision logs, and audit trails must be retained for a minimum of 7 years from the date of the transaction, after which they must be securely deleted.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All data stores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5B2C8D"/>
                <w:sz w:val="19"/>
                <w:szCs w:val="19"/>
              </w:rPr>
              <w:t xml:space="preserve">BRU-11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False Positive Feedback Loop</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Cases tagged as false positives by analysts must be automatically fed back to the ML model training pipeline within 24 hours to improve future 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ML model</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5B2C8D"/>
                <w:sz w:val="19"/>
                <w:szCs w:val="19"/>
              </w:rPr>
              <w:t xml:space="preserve">BRU-12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1A"/>
                <w:sz w:val="19"/>
                <w:szCs w:val="19"/>
              </w:rPr>
              <w:t xml:space="preserve">Rule Activation Approval</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New fraud detection rules or changes to existing rules must be reviewed and approved by the Head of Fraud Operations before activation in the production environment.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Rules engine</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7.  Assumptions, Dependencies &amp; Constraints</w:t>
      </w:r>
    </w:p>
    <w:p>
      <w:pPr>
        <w:pStyle w:val="Heading2"/>
        <w:spacing w:before="240" w:after="100"/>
      </w:pPr>
      <w:r>
        <w:rPr>
          <w:rFonts w:ascii="Arial" w:cs="Arial" w:eastAsia="Arial" w:hAnsi="Arial"/>
          <w:b/>
          <w:bCs/>
          <w:color w:val="2E75B6"/>
          <w:sz w:val="22"/>
          <w:szCs w:val="22"/>
        </w:rPr>
        <w:t xml:space="preserve">7.1  Assumptions</w:t>
      </w:r>
    </w:p>
    <w:p>
      <w:pPr>
        <w:spacing w:before="60" w:after="80"/>
      </w:pPr>
      <w:r>
        <w:rPr>
          <w:rFonts w:ascii="Arial" w:cs="Arial" w:eastAsia="Arial" w:hAnsi="Arial"/>
          <w:color w:val="1A1A1A"/>
          <w:sz w:val="20"/>
          <w:szCs w:val="20"/>
        </w:rPr>
        <w:t xml:space="preserve">The following assumptions have been made in documenting these requirements. If any assumption proves incorrect, affected requirements must be reviewed and updated through the change control process.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60"/>
        <w:gridCol w:w="3200"/>
      </w:tblGrid>
      <w:tr>
        <w:tc>
          <w:tcPr>
            <w:tcW w:type="dxa" w:w="9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Ref</w:t>
            </w:r>
          </w:p>
        </w:tc>
        <w:tc>
          <w:tcPr>
            <w:tcW w:type="dxa" w:w="52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Assumption</w:t>
            </w:r>
          </w:p>
        </w:tc>
        <w:tc>
          <w:tcPr>
            <w:tcW w:type="dxa" w:w="3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 if Incorrect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ASS-01</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All transaction data is accessible via a REST API from the core banking system in real 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55A11"/>
                <w:sz w:val="19"/>
                <w:szCs w:val="19"/>
              </w:rPr>
              <w:t xml:space="preserve">BR-21 and all real-time detection requirements would need re-scoping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ASS-02</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 minimum of 24 months of historical transaction data is available in a clean, labelled format for ML model training.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C55A11"/>
                <w:sz w:val="19"/>
                <w:szCs w:val="19"/>
              </w:rPr>
              <w:t xml:space="preserve">BR-06 and BR-29 could not be delivered as specified; model accuracy may be lower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ASS-03</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organisation's cloud infrastructure (AWS/Azure) can support sub-300ms transaction processing at 2,000 TPS.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55A11"/>
                <w:sz w:val="19"/>
                <w:szCs w:val="19"/>
              </w:rPr>
              <w:t xml:space="preserve">NFR-01 and NFR-02 may require infrastructure uplift investment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ASS-04</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Fraud operations team members will be available for requirements workshops, UAT, and training during the project.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C55A11"/>
                <w:sz w:val="19"/>
                <w:szCs w:val="19"/>
              </w:rPr>
              <w:t xml:space="preserve">Delays to requirements sign-off and UAT completion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ASS-05</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The Head of Fraud Operations has authority to approve business rules and sign off requirements on behalf of the Fraud Operations team.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55A11"/>
                <w:sz w:val="19"/>
                <w:szCs w:val="19"/>
              </w:rPr>
              <w:t xml:space="preserve">Additional approval steps may delay requirements baseline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ASS-06</w:t>
            </w:r>
          </w:p>
        </w:tc>
        <w:tc>
          <w:tcPr>
            <w:tcW w:type="dxa" w:w="5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GDPR, PCI-DSS v4.0, and PSD2 regulatory requirements remain stable throughout the project delivery period.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C55A11"/>
                <w:sz w:val="19"/>
                <w:szCs w:val="19"/>
              </w:rPr>
              <w:t xml:space="preserve">Section 5 compliance requirements may need revision; regulatory gap analysis required</w:t>
            </w:r>
          </w:p>
        </w:tc>
      </w:tr>
    </w:tbl>
    <w:p>
      <w:pPr>
        <w:spacing w:before="60" w:after="60"/>
      </w:pPr>
      <w:r>
        <w:t xml:space="preserve"/>
      </w:r>
    </w:p>
    <w:p>
      <w:pPr>
        <w:pStyle w:val="Heading2"/>
        <w:spacing w:before="240" w:after="100"/>
      </w:pPr>
      <w:r>
        <w:rPr>
          <w:rFonts w:ascii="Arial" w:cs="Arial" w:eastAsia="Arial" w:hAnsi="Arial"/>
          <w:b/>
          <w:bCs/>
          <w:color w:val="2E75B6"/>
          <w:sz w:val="22"/>
          <w:szCs w:val="22"/>
        </w:rPr>
        <w:t xml:space="preserve">7.2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760"/>
        <w:gridCol w:w="2400"/>
        <w:gridCol w:w="2300"/>
      </w:tblGrid>
      <w:tr>
        <w:tc>
          <w:tcPr>
            <w:tcW w:type="dxa" w:w="900"/>
            <w:tcBorders>
              <w:top w:val="single" w:color="CCCCCC" w:sz="1"/>
              <w:left w:val="single" w:color="CCCCCC" w:sz="1"/>
              <w:bottom w:val="single" w:color="CCCCCC" w:sz="1"/>
              <w:right w:val="single" w:color="CCCCCC" w:sz="1"/>
            </w:tcBorders>
            <w:shd w:fill="0D6E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Ref</w:t>
            </w:r>
          </w:p>
        </w:tc>
        <w:tc>
          <w:tcPr>
            <w:tcW w:type="dxa" w:w="3760"/>
            <w:tcBorders>
              <w:top w:val="single" w:color="CCCCCC" w:sz="1"/>
              <w:left w:val="single" w:color="CCCCCC" w:sz="1"/>
              <w:bottom w:val="single" w:color="CCCCCC" w:sz="1"/>
              <w:right w:val="single" w:color="CCCCCC" w:sz="1"/>
            </w:tcBorders>
            <w:shd w:fill="0D6E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Dependency</w:t>
            </w:r>
          </w:p>
        </w:tc>
        <w:tc>
          <w:tcPr>
            <w:tcW w:type="dxa" w:w="2400"/>
            <w:tcBorders>
              <w:top w:val="single" w:color="CCCCCC" w:sz="1"/>
              <w:left w:val="single" w:color="CCCCCC" w:sz="1"/>
              <w:bottom w:val="single" w:color="CCCCCC" w:sz="1"/>
              <w:right w:val="single" w:color="CCCCCC" w:sz="1"/>
            </w:tcBorders>
            <w:shd w:fill="0D6E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Owner</w:t>
            </w:r>
          </w:p>
        </w:tc>
        <w:tc>
          <w:tcPr>
            <w:tcW w:type="dxa" w:w="2300"/>
            <w:tcBorders>
              <w:top w:val="single" w:color="CCCCCC" w:sz="1"/>
              <w:left w:val="single" w:color="CCCCCC" w:sz="1"/>
              <w:bottom w:val="single" w:color="CCCCCC" w:sz="1"/>
              <w:right w:val="single" w:color="CCCCCC" w:sz="1"/>
            </w:tcBorders>
            <w:shd w:fill="0D6E6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Required By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6E6E"/>
                <w:sz w:val="19"/>
                <w:szCs w:val="19"/>
              </w:rPr>
              <w:t xml:space="preserve">DEP-01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Core banking API specification and sandbox environment available for integration design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IT Lead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Phase 2 (May 2026)</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D6E6E"/>
                <w:sz w:val="19"/>
                <w:szCs w:val="19"/>
              </w:rPr>
              <w:t xml:space="preserve">DEP-02</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Historical transaction dataset (24 months, labelled) provided by Data Engineering team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Data Engineering</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Phase 3 (July 2026)</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6E6E"/>
                <w:sz w:val="19"/>
                <w:szCs w:val="19"/>
              </w:rPr>
              <w:t xml:space="preserve">DEP-03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Card management system API documentation and test environment available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IT Lead / Card Platform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Phase 3 (Aug 2026)</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D6E6E"/>
                <w:sz w:val="19"/>
                <w:szCs w:val="19"/>
              </w:rPr>
              <w:t xml:space="preserve">DEP-04</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Identity/KYC platform integration specification confirmed by Compliance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Compliance / IT</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Phase 3 (Aug 2026)</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6E6E"/>
                <w:sz w:val="19"/>
                <w:szCs w:val="19"/>
              </w:rPr>
              <w:t xml:space="preserve">DEP-05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Fraud operations team available for UAT (minimum 4 analysts, 3 weeks)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Head of Fraud Ops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Phase 4 (Oct 2026)</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D6E6E"/>
                <w:sz w:val="19"/>
                <w:szCs w:val="19"/>
              </w:rPr>
              <w:t xml:space="preserve">DEP-06</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External penetration test booked and completed before go-live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E75B6"/>
                <w:sz w:val="19"/>
                <w:szCs w:val="19"/>
              </w:rPr>
              <w:t xml:space="preserve">IT Security / CISO</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Phase 4 (Oct 2026)</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8.  Requirements Traceability Matrix (RTM) — Summary</w:t>
      </w:r>
    </w:p>
    <w:p>
      <w:pPr>
        <w:spacing w:before="60" w:after="80"/>
      </w:pPr>
      <w:r>
        <w:rPr>
          <w:rFonts w:ascii="Arial" w:cs="Arial" w:eastAsia="Arial" w:hAnsi="Arial"/>
          <w:color w:val="1A1A1A"/>
          <w:sz w:val="20"/>
          <w:szCs w:val="20"/>
        </w:rPr>
        <w:t xml:space="preserve">The Requirements Traceability Matrix maps each business requirement to its originating business objective, MoSCoW priority, and delivery phase. This ensures full traceability from strategy through to delivery and testing.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1400"/>
        <w:gridCol w:w="900"/>
        <w:gridCol w:w="1300"/>
        <w:gridCol w:w="1800"/>
      </w:tblGrid>
      <w:tr>
        <w:tc>
          <w:tcPr>
            <w:tcW w:type="dxa" w:w="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 ID</w:t>
            </w:r>
          </w:p>
        </w:tc>
        <w:tc>
          <w:tcPr>
            <w:tcW w:type="dxa" w:w="30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Requirement (Short)</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Business Obj.</w:t>
            </w:r>
          </w:p>
        </w:tc>
        <w:tc>
          <w:tcPr>
            <w:tcW w:type="dxa" w:w="9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Delivery Phase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BR-01</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Real-time monitoring of all transactions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6E6E"/>
                <w:sz w:val="19"/>
                <w:szCs w:val="19"/>
              </w:rPr>
              <w:t xml:space="preserve">BO-01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Detection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Phase 3 – Build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BR-02</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Fraud risk scoring (0–100) per transaction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D6E6E"/>
                <w:sz w:val="19"/>
                <w:szCs w:val="19"/>
              </w:rPr>
              <w:t xml:space="preserve">BO-01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Detection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Phase 3 – Build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BR-03</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Threshold-based automatic transaction blocking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6E6E"/>
                <w:sz w:val="19"/>
                <w:szCs w:val="19"/>
              </w:rPr>
              <w:t xml:space="preserve">BO-02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Detection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Phase 3 – Build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BR-05</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Configurable fraud rules engine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D6E6E"/>
                <w:sz w:val="19"/>
                <w:szCs w:val="19"/>
              </w:rPr>
              <w:t xml:space="preserve">BO-04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Detection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Phase 3 – Build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BR-06</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Customer behavioural analytics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6E6E"/>
                <w:sz w:val="19"/>
                <w:szCs w:val="19"/>
              </w:rPr>
              <w:t xml:space="preserve">BO-03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55A11"/>
                <w:sz w:val="19"/>
                <w:szCs w:val="19"/>
              </w:rPr>
              <w:t xml:space="preserve">Should Have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Detection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Phase 3 – Build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BR-11</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Real-time case management dashboard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D6E6E"/>
                <w:sz w:val="19"/>
                <w:szCs w:val="19"/>
              </w:rPr>
              <w:t xml:space="preserve">BO-04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Case Mgmt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Phase 3 – Build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BR-14</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Immutable analyst decision audit 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6E6E"/>
                <w:sz w:val="19"/>
                <w:szCs w:val="19"/>
              </w:rPr>
              <w:t xml:space="preserve">BO-05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Compliance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Phase 3 – Build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BR-15</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Automated customer notification on block</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D6E6E"/>
                <w:sz w:val="19"/>
                <w:szCs w:val="19"/>
              </w:rPr>
              <w:t xml:space="preserve">BO-06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55A11"/>
                <w:sz w:val="19"/>
                <w:szCs w:val="19"/>
              </w:rPr>
              <w:t xml:space="preserve">Should Have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Alerting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Phase 3 – Build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BR-19</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Real-time high-risk transaction alerting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6E6E"/>
                <w:sz w:val="19"/>
                <w:szCs w:val="19"/>
              </w:rPr>
              <w:t xml:space="preserve">BO-01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Alerting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Phase 3 – Build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BR-21</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Core banking system API integration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D6E6E"/>
                <w:sz w:val="19"/>
                <w:szCs w:val="19"/>
              </w:rPr>
              <w:t xml:space="preserve">BO-01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Integration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Phase 3 – Build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BR-26</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Fraud KPI management 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6E6E"/>
                <w:sz w:val="19"/>
                <w:szCs w:val="19"/>
              </w:rPr>
              <w:t xml:space="preserve">BO-02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Reporting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Phase 3 – Build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BR-30</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Regulatory report generation (FCA/PSD2)</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D6E6E"/>
                <w:sz w:val="19"/>
                <w:szCs w:val="19"/>
              </w:rPr>
              <w:t xml:space="preserve">BO-05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Compliance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Phase 3 – Build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BR-31</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7-year immutable audit trail retention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6E6E"/>
                <w:sz w:val="19"/>
                <w:szCs w:val="19"/>
              </w:rPr>
              <w:t xml:space="preserve">BO-05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Compliance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Phase 3 – Build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BR-33</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AES-256 and TLS 1.3 data encryption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D6E6E"/>
                <w:sz w:val="19"/>
                <w:szCs w:val="19"/>
              </w:rPr>
              <w:t xml:space="preserve">BO-05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Security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Phase 3 – Build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BR-36</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PSD2 SCA challenge integration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6E6E"/>
                <w:sz w:val="19"/>
                <w:szCs w:val="19"/>
              </w:rPr>
              <w:t xml:space="preserve">BO-05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Must Have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9"/>
                <w:szCs w:val="19"/>
              </w:rPr>
              <w:t xml:space="preserve">Compliance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7145"/>
                <w:sz w:val="19"/>
                <w:szCs w:val="19"/>
              </w:rPr>
              <w:t xml:space="preserve">Phase 3 – Build</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9.  Requirements Sign-Off &amp; Approval</w:t>
      </w:r>
    </w:p>
    <w:p>
      <w:pPr>
        <w:spacing w:before="60" w:after="80"/>
      </w:pPr>
      <w:r>
        <w:rPr>
          <w:rFonts w:ascii="Arial" w:cs="Arial" w:eastAsia="Arial" w:hAnsi="Arial"/>
          <w:color w:val="1A1A1A"/>
          <w:sz w:val="20"/>
          <w:szCs w:val="20"/>
        </w:rPr>
        <w:t xml:space="preserve">By signing below, the named stakeholders confirm that they have reviewed this Business Requirements Document and that the requirements accurately represent the business needs for the Real-Time Payment Fraud Prevention System. Signed approval of this document triggers the baseline and activates change control for all requirements.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60"/>
        <w:gridCol w:w="2400"/>
        <w:gridCol w:w="220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Name</w:t>
            </w:r>
          </w:p>
        </w:tc>
        <w:tc>
          <w:tcPr>
            <w:tcW w:type="dxa" w:w="2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Title</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Signature</w:t>
            </w:r>
          </w:p>
        </w:tc>
        <w:tc>
          <w:tcPr>
            <w:tcW w:type="dxa" w:w="2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[Name]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Chief Risk Officer (Sponsor)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BBBBB"/>
                <w:sz w:val="19"/>
                <w:szCs w:val="19"/>
              </w:rPr>
              <w:t xml:space="preserve">____________________</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BBBBB"/>
                <w:sz w:val="19"/>
                <w:szCs w:val="19"/>
              </w:rPr>
              <w:t xml:space="preserve">____________________</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[Name]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Head of Fraud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BBBBB"/>
                <w:sz w:val="19"/>
                <w:szCs w:val="19"/>
              </w:rPr>
              <w:t xml:space="preserve">____________________</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BBBBB"/>
                <w:sz w:val="19"/>
                <w:szCs w:val="19"/>
              </w:rPr>
              <w:t xml:space="preserve">____________________</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[Name]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Compliance Officer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BBBBB"/>
                <w:sz w:val="19"/>
                <w:szCs w:val="19"/>
              </w:rPr>
              <w:t xml:space="preserve">____________________</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BBBBB"/>
                <w:sz w:val="19"/>
                <w:szCs w:val="19"/>
              </w:rPr>
              <w:t xml:space="preserve">____________________</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[Name]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IT / Engineering Lead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BBBBB"/>
                <w:sz w:val="19"/>
                <w:szCs w:val="19"/>
              </w:rPr>
              <w:t xml:space="preserve">____________________</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BBBBB"/>
                <w:sz w:val="19"/>
                <w:szCs w:val="19"/>
              </w:rPr>
              <w:t xml:space="preserve">____________________</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[Name]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Business Analyst (Author)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BBBBBB"/>
                <w:sz w:val="19"/>
                <w:szCs w:val="19"/>
              </w:rPr>
              <w:t xml:space="preserve">____________________</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BBBBB"/>
                <w:sz w:val="19"/>
                <w:szCs w:val="19"/>
              </w:rPr>
              <w:t xml:space="preserve">March 06, 2026</w:t>
            </w:r>
          </w:p>
        </w:tc>
      </w:tr>
    </w:tbl>
    <w:p>
      <w:pPr>
        <w:spacing w:before="60" w:after="60"/>
      </w:pPr>
      <w:r>
        <w:t xml:space="preserve"/>
      </w:r>
    </w:p>
    <w:p>
      <w:pPr>
        <w:spacing w:before="60" w:after="60"/>
      </w:pPr>
      <w:r>
        <w:t xml:space="preserve"/>
      </w:r>
    </w:p>
    <w:p>
      <w:pPr>
        <w:pStyle w:val="Heading1"/>
        <w:pBdr>
          <w:bottom w:val="single" w:color="2E75B6" w:sz="6" w:space="4"/>
        </w:pBdr>
        <w:spacing w:before="380" w:after="160"/>
      </w:pPr>
      <w:r>
        <w:rPr>
          <w:rFonts w:ascii="Arial" w:cs="Arial" w:eastAsia="Arial" w:hAnsi="Arial"/>
          <w:b/>
          <w:bCs/>
          <w:color w:val="1B3A6B"/>
          <w:sz w:val="28"/>
          <w:szCs w:val="28"/>
        </w:rPr>
        <w:t xml:space="preserve">  10.  Document Control &amp; Glossary</w:t>
      </w:r>
    </w:p>
    <w:p>
      <w:pPr>
        <w:pStyle w:val="Heading2"/>
        <w:spacing w:before="240" w:after="100"/>
      </w:pPr>
      <w:r>
        <w:rPr>
          <w:rFonts w:ascii="Arial" w:cs="Arial" w:eastAsia="Arial" w:hAnsi="Arial"/>
          <w:b/>
          <w:bCs/>
          <w:color w:val="2E75B6"/>
          <w:sz w:val="22"/>
          <w:szCs w:val="22"/>
        </w:rPr>
        <w:t xml:space="preserve">10.1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160"/>
        <w:gridCol w:w="2000"/>
      </w:tblGrid>
      <w:tr>
        <w:tc>
          <w:tcPr>
            <w:tcW w:type="dxa" w:w="12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Date</w:t>
            </w:r>
          </w:p>
        </w:tc>
        <w:tc>
          <w:tcPr>
            <w:tcW w:type="dxa" w:w="41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Changes</w:t>
            </w:r>
          </w:p>
        </w:tc>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Author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9"/>
                <w:szCs w:val="19"/>
              </w:rPr>
              <w:t xml:space="preserve">v1.0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06 March 2026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Initial BRD created — 38 requirements, 12 business rules, NFRs and RTM documented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BA Portfolio Author</w:t>
            </w:r>
          </w:p>
        </w:tc>
      </w:tr>
    </w:tbl>
    <w:p>
      <w:pPr>
        <w:spacing w:before="60" w:after="60"/>
      </w:pPr>
      <w:r>
        <w:t xml:space="preserve"/>
      </w:r>
    </w:p>
    <w:p>
      <w:pPr>
        <w:pStyle w:val="Heading2"/>
        <w:spacing w:before="240" w:after="100"/>
      </w:pPr>
      <w:r>
        <w:rPr>
          <w:rFonts w:ascii="Arial" w:cs="Arial" w:eastAsia="Arial" w:hAnsi="Arial"/>
          <w:b/>
          <w:bCs/>
          <w:color w:val="2E75B6"/>
          <w:sz w:val="22"/>
          <w:szCs w:val="22"/>
        </w:rPr>
        <w:t xml:space="preserve">10.2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Term / Acronym</w:t>
            </w:r>
          </w:p>
        </w:tc>
        <w:tc>
          <w:tcPr>
            <w:tcW w:type="dxa" w:w="71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ATO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Account Takeover — fraudulent access to a customer's account by a third party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BRD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Business Requirements Document — captures what the business needs, independent of technical design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CNP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Card-Not-Present — transactions where the physical card is not used (e.g., online payments)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FRD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Functional Requirements Document — describes how the system will behave to meet the BRD requirements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GDPR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General Data Protection Regulation — EU/UK data protection legislation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ML</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Machine Learning — AI technique used to identify patterns and anomalies in transaction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MoSCoW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Prioritisation method: Must Have, Should Have, Could Have, Won't Have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NFR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Non-Functional Requirement — quality attribute (performance, security, availability,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PCI-DSS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Payment Card Industry Data Security Standard — security standard for cardholder data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PSD2</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Payment Services Directive 2 — EU regulation governing payment services and fraud prevention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RBAC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Role-Based Access Control — access permissions assigned based on user role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RTM</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Requirements Traceability Matrix — maps requirements to objectives, tests, and delivery phases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SAR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Suspicious Activity Report — mandatory regulatory report filed for suspected financial crime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SCA</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Strong Customer Authentication — PSD2 requirement for two-factor authentication on payments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TPS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Transactions Per Second — system throughput metric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B3A6B"/>
                <w:sz w:val="19"/>
                <w:szCs w:val="19"/>
              </w:rPr>
              <w:t xml:space="preserve">UAT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1A1A1A"/>
                <w:sz w:val="19"/>
                <w:szCs w:val="19"/>
              </w:rPr>
              <w:t xml:space="preserve">User Acceptance Testing — testing performed by business users to validate the system meets requirements</w:t>
            </w:r>
          </w:p>
        </w:tc>
      </w:tr>
    </w:tbl>
    <w:p>
      <w:pPr>
        <w:spacing w:before="60" w:after="60"/>
      </w:pPr>
      <w:r>
        <w:t xml:space="preserve"/>
      </w:r>
    </w:p>
    <w:p>
      <w:pPr>
        <w:spacing w:before="400" w:after="100"/>
        <w:jc w:val="center"/>
      </w:pPr>
      <w:r>
        <w:rPr>
          <w:rFonts w:ascii="Arial" w:cs="Arial" w:eastAsia="Arial" w:hAnsi="Arial"/>
          <w:i/>
          <w:iCs/>
          <w:color w:val="AAAAAA"/>
          <w:sz w:val="18"/>
          <w:szCs w:val="18"/>
        </w:rPr>
        <w:t xml:space="preserve">— End of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888888"/>
        <w:sz w:val="17"/>
        <w:szCs w:val="17"/>
      </w:rPr>
      <w:t xml:space="preserve">BA Portfolio Project  |  Version 1.0  |  March 2026</w:t>
    </w:r>
    <w:r>
      <w:rPr>
        <w:rFonts w:ascii="Arial" w:cs="Arial" w:eastAsia="Arial" w:hAnsi="Arial"/>
        <w:color w:val="888888"/>
        <w:sz w:val="17"/>
        <w:szCs w:val="17"/>
      </w:rPr>
      <w:t xml:space="preserve">	Document 3 of 6  |  Phase 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b/>
        <w:bCs/>
        <w:color w:val="2E75B6"/>
        <w:sz w:val="18"/>
        <w:szCs w:val="18"/>
      </w:rPr>
      <w:t xml:space="preserve">Real-Time Payment Fraud Prevention System  |  Business Requirements Document (BRD)</w:t>
    </w:r>
    <w:r>
      <w:rPr>
        <w:rFonts w:ascii="Arial" w:cs="Arial" w:eastAsia="Arial" w:hAnsi="Arial"/>
        <w:color w:val="99999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60"/>
      <w:outlineLvl w:val="0"/>
    </w:pPr>
    <w:rPr>
      <w:rFonts w:ascii="Arial" w:cs="Arial" w:eastAsia="Arial" w:hAnsi="Arial"/>
      <w:b/>
      <w:bCs/>
      <w:color w:val="1B3A6B"/>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2026-03-11T06:13:08.182Z</dcterms:created>
  <dcterms:modified xsi:type="dcterms:W3CDTF">2026-03-11T06:13:08.183Z</dcterms:modified>
</cp:coreProperties>
</file>

<file path=docProps/custom.xml><?xml version="1.0" encoding="utf-8"?>
<Properties xmlns="http://schemas.openxmlformats.org/officeDocument/2006/custom-properties" xmlns:vt="http://schemas.openxmlformats.org/officeDocument/2006/docPropsVTypes"/>
</file>