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480"/>
              <w:left w:type="dxa" w:w="480"/>
              <w:bottom w:type="dxa" w:w="480"/>
              <w:right w:type="dxa" w:w="480"/>
            </w:tcMar>
          </w:tcPr>
          <w:p>
            <w:pPr>
              <w:spacing w:before="6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BUSINESS CASE</w:t>
            </w:r>
          </w:p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color w:val="A8C8E8"/>
                <w:sz w:val="30"/>
                <w:szCs w:val="30"/>
              </w:rPr>
              <w:t xml:space="preserve">Real-Time Payment Fraud Prevention System</w:t>
            </w:r>
          </w:p>
          <w:p>
            <w:pPr>
              <w:spacing w:before="40" w:after="80"/>
              <w:jc w:val="center"/>
            </w:pPr>
            <w:r>
              <w:rPr>
                <w:rFonts w:ascii="Arial" w:cs="Arial" w:eastAsia="Arial" w:hAnsi="Arial"/>
                <w:i/>
                <w:iCs/>
                <w:color w:val="7AAFCF"/>
                <w:sz w:val="22"/>
                <w:szCs w:val="22"/>
              </w:rPr>
              <w:t xml:space="preserve">Investment Justification, Options Appraisal &amp; ROI Analysis</w:t>
            </w:r>
          </w:p>
          <w:p>
            <w:pPr>
              <w:spacing w:before="40" w:after="60"/>
              <w:jc w:val="center"/>
            </w:pPr>
            <w:r>
              <w:rPr>
                <w:rFonts w:ascii="Arial" w:cs="Arial" w:eastAsia="Arial" w:hAnsi="Arial"/>
                <w:color w:val="5599BB"/>
                <w:sz w:val="20"/>
                <w:szCs w:val="20"/>
              </w:rPr>
              <w:t xml:space="preserve">BA Portfolio Project  |  Version 1.0  |  March 2026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80"/>
        <w:gridCol w:w="2200"/>
        <w:gridCol w:w="24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BA Portfolio Author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March 06, 2026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v1.0 – Initial Draft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For Approval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Presented To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Chief Risk Officer / ExCo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Investment Ask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9"/>
                <w:szCs w:val="19"/>
              </w:rPr>
              <w:t xml:space="preserve">£1,199,000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  1.  Executive Summary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This Business Case presents the strategic and financial justification for investing in a Real-Time Payment Fraud Prevention System (RTPFPS) for our organisation. Payment fraud is one of the fastest-growing financial crime vectors globally, and our current detection capabilities are insufficient to address emerging threats at the speed and scale required.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This document outlines the current problem, evaluates three strategic options, recommends the preferred solution, and demonstrates a compelling return on investment with a projected payback period of under 18 months. The recommended investment of £1,199,000 is expected to deliver £4.2M in quantifiable benefits over three years.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Investment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14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3-Year Net Benefit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E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Payback Period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£1,199,000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9"/>
                <w:szCs w:val="19"/>
              </w:rPr>
              <w:t xml:space="preserve">£4,200,000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E6E"/>
                <w:sz w:val="19"/>
                <w:szCs w:val="19"/>
              </w:rPr>
              <w:t xml:space="preserve">250%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~17 Months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  2.  Strategic Context &amp; Business Need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2.1  Industry Landscape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Payment fraud losses are a critical issue for financial institutions. Industry data consistently shows that organisations without real-time fraud detection systems are disproportionately exposed to losses from card-not-present (CNP) fraud, account takeover (ATO), authorised push payment (APP) fraud, and synthetic identity fraud — all of which have accelerated with the shift to digital payments.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Regulators including the FCA and EBA have also increased scrutiny of fraud controls, making robust real-time monitoring not just a competitive advantage but a compliance obligation under PSD2 and the upcoming UK Fraud Strategy frameworks.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2.2  Current State Assessment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An assessment of the current fraud detection capabilities reveals the following critical gaps: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 Area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State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/ Risk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Transaction Monitoring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19"/>
                <w:szCs w:val="19"/>
              </w:rPr>
              <w:t xml:space="preserve">Batch processing — reviewed every 4 hours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9"/>
                <w:szCs w:val="19"/>
              </w:rPr>
              <w:t xml:space="preserve">Fraud undetected for hours, leading to unrecoverable losses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Detection Method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19"/>
                <w:szCs w:val="19"/>
              </w:rPr>
              <w:t xml:space="preserve">Manual rule-sets — static, rarely updated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9"/>
                <w:szCs w:val="19"/>
              </w:rPr>
              <w:t xml:space="preserve">Cannot adapt to evolving fraud patterns; high false negatives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False Positive Rate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19"/>
                <w:szCs w:val="19"/>
              </w:rPr>
              <w:t xml:space="preserve">~12% of flagged transactions are legitimate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9"/>
                <w:szCs w:val="19"/>
              </w:rPr>
              <w:t xml:space="preserve">Customer friction, call-centre costs, reputational risk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Data Integration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19"/>
                <w:szCs w:val="19"/>
              </w:rPr>
              <w:t xml:space="preserve">Siloed systems — no unified customer view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9"/>
                <w:szCs w:val="19"/>
              </w:rPr>
              <w:t xml:space="preserve">Blind spots across channels; no behavioural analytics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Analyst Tools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19"/>
                <w:szCs w:val="19"/>
              </w:rPr>
              <w:t xml:space="preserve">Spreadsheet-based case management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9"/>
                <w:szCs w:val="19"/>
              </w:rPr>
              <w:t xml:space="preserve">Slow, error-prone, no audit trail, not scalable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Regulatory Reporting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19"/>
                <w:szCs w:val="19"/>
              </w:rPr>
              <w:t xml:space="preserve">Manual monthly reports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9"/>
                <w:szCs w:val="19"/>
              </w:rPr>
              <w:t xml:space="preserve">Compliance risk — no real-time audit trail for regulators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  3.  Problem Statement &amp; Financial Impact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3.1  Quantified Business Problem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following financial losses and costs have been estimated based on industry benchmarks and internal data: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60"/>
        <w:gridCol w:w="2600"/>
        <w:gridCol w:w="2600"/>
      </w:tblGrid>
      <w:tr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Loss / Cost Category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Annual Cost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/ Basis</w:t>
            </w:r>
          </w:p>
        </w:tc>
      </w:tr>
      <w:tr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Direct fraud losses (undetected transactions)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£1,800,000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Internal fraud operations data</w:t>
            </w:r>
          </w:p>
        </w:tc>
      </w:tr>
      <w:tr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Chargeback processing costs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£320,000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Finance team estimates</w:t>
            </w:r>
          </w:p>
        </w:tc>
      </w:tr>
      <w:tr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Manual fraud analyst team costs (12 FTEs)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£540,000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HR cost model</w:t>
            </w:r>
          </w:p>
        </w:tc>
      </w:tr>
      <w:tr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Customer attrition from fraud incidents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£280,000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CX team revenue impact model</w:t>
            </w:r>
          </w:p>
        </w:tc>
      </w:tr>
      <w:tr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Regulatory fines risk (potential, not yet incurred)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£500,000+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FCA enforcement benchmarks</w:t>
            </w:r>
          </w:p>
        </w:tc>
      </w:tr>
      <w:tr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False positive customer friction (estimated lost revenue)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£150,000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NPS and conversion data</w:t>
            </w:r>
          </w:p>
        </w:tc>
      </w:tr>
      <w:tr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 ESTIMATED ANNUAL EXPOSURE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£3,590,000+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ACCEE"/>
                <w:sz w:val="19"/>
                <w:szCs w:val="19"/>
              </w:rPr>
              <w:t xml:space="preserve">Combined estimate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  4.  Options Appraisal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Three strategic options have been evaluated to address the identified fraud detection gap. Each option has been assessed against cost, risk, benefit, and strategic alignment criteria.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Option 1 — Do Nothing (Base Case)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Description:</w:t>
            </w:r>
          </w:p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Maintain the current batch-based, manual fraud detection process with no significant investment or change.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14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Advantages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Disadvantages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upfront capital investment required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disruption to existing operations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Familiar processes for current staff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Continued exposure to £3.59M+ annual losses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Growing regulatory non-compliance risk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Reputational damage and customer loss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Fraud volumes will increase — losses will grow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competitive differentiation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C00000"/>
          <w:sz w:val="19"/>
          <w:szCs w:val="19"/>
        </w:rPr>
        <w:t xml:space="preserve">RECOMMENDATION: NOT RECOMMENDED — Unacceptable ongoing financial and regulatory risk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Option 2 — Buy: Procure a Third-Party Fraud SaaS Platform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Description:</w:t>
            </w:r>
          </w:p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Procure and implement a commercially available, cloud-hosted fraud detection SaaS platform (e.g., FICO Falcon, Featurespace ARIC, or equivalent). Configuration and integration managed by the vendor.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14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Advantages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Disadvantages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Faster deployment (proven platform)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Vendor manages ML model maintenance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Lower internal development resource required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Pre-built compliance reporting features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 ongoing SaaS licensing costs (£350K+/year)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Limited customisation to our specific fraud patterns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 sovereignty concerns — customer data leaves org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Vendor lock-in risk over multi-year contracts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Integration complexity with legacy core banking still high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C55A11"/>
          <w:sz w:val="19"/>
          <w:szCs w:val="19"/>
        </w:rPr>
        <w:t xml:space="preserve">ASSESSMENT: VIABLE but cost-prohibitive long term — evaluated further in financial comparison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Option 3 — Build: Internal Development of RTPFPS (Recommended)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6E"/>
                <w:sz w:val="20"/>
                <w:szCs w:val="20"/>
              </w:rPr>
              <w:t xml:space="preserve">Description:</w:t>
            </w:r>
          </w:p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Design, build, and deploy a bespoke Real-Time Payment Fraud Prevention System using internal and contracted engineering, data science, and BA resources. Hosted on the organisation's existing cloud infrastructure (AWS/Azure).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14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Advantages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Disadvantages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customisation to our fraud patterns and 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ongoing SaaS licensing — lower 3-year TCO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 remains within our infrastructure (GDPR compliant)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Internal IP and competitive advantage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Scalable and extensible for future fraud types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Builds internal capability and expertise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Higher upfront investment vs. SaaS option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Longer delivery timeline (9 months to go-live)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Requires skilled internal delivery team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Maintenance and model refresh is our responsibility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E7145"/>
          <w:sz w:val="19"/>
          <w:szCs w:val="19"/>
        </w:rPr>
        <w:t xml:space="preserve">RECOMMENDATION: PREFERRED OPTION — Best long-term value, full control, and strategic alignment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4.4  Options Comparison Summary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0"/>
        <w:gridCol w:w="2267"/>
        <w:gridCol w:w="2267"/>
        <w:gridCol w:w="2266"/>
      </w:tblGrid>
      <w:tr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 1: Do Nothing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 2: Buy SaaS</w:t>
            </w:r>
          </w:p>
        </w:tc>
        <w:tc>
          <w:tcPr>
            <w:tcW w:type="dxa" w:w="2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 3: Build (Rec.)</w:t>
            </w:r>
          </w:p>
        </w:tc>
      </w:tr>
      <w:tr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Upfront Cost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9"/>
                <w:szCs w:val="19"/>
              </w:rPr>
              <w:t xml:space="preserve">None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19"/>
                <w:szCs w:val="19"/>
              </w:rPr>
              <w:t xml:space="preserve">£400K</w:t>
            </w:r>
          </w:p>
        </w:tc>
        <w:tc>
          <w:tcPr>
            <w:tcW w:type="dxa" w:w="2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9"/>
                <w:szCs w:val="19"/>
              </w:rPr>
              <w:t xml:space="preserve">£1.2M</w:t>
            </w:r>
          </w:p>
        </w:tc>
      </w:tr>
      <w:tr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3-Year Total Cost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9"/>
                <w:szCs w:val="19"/>
              </w:rPr>
              <w:t xml:space="preserve">£10.8M+ (losses)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19"/>
                <w:szCs w:val="19"/>
              </w:rPr>
              <w:t xml:space="preserve">£2.45M</w:t>
            </w:r>
          </w:p>
        </w:tc>
        <w:tc>
          <w:tcPr>
            <w:tcW w:type="dxa" w:w="2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9"/>
                <w:szCs w:val="19"/>
              </w:rPr>
              <w:t xml:space="preserve">£1.4M</w:t>
            </w:r>
          </w:p>
        </w:tc>
      </w:tr>
      <w:tr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Speed to Value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Immediate (none)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19"/>
                <w:szCs w:val="19"/>
              </w:rPr>
              <w:t xml:space="preserve">6 months</w:t>
            </w:r>
          </w:p>
        </w:tc>
        <w:tc>
          <w:tcPr>
            <w:tcW w:type="dxa" w:w="2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9"/>
                <w:szCs w:val="19"/>
              </w:rPr>
              <w:t xml:space="preserve">9 months</w:t>
            </w:r>
          </w:p>
        </w:tc>
      </w:tr>
      <w:tr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Fraud Detection Quality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9"/>
                <w:szCs w:val="19"/>
              </w:rPr>
              <w:t xml:space="preserve">Poor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19"/>
                <w:szCs w:val="19"/>
              </w:rPr>
              <w:t xml:space="preserve">High</w:t>
            </w:r>
          </w:p>
        </w:tc>
        <w:tc>
          <w:tcPr>
            <w:tcW w:type="dxa" w:w="2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9"/>
                <w:szCs w:val="19"/>
              </w:rPr>
              <w:t xml:space="preserve">Very High</w:t>
            </w:r>
          </w:p>
        </w:tc>
      </w:tr>
      <w:tr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Regulatory Compliance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9"/>
                <w:szCs w:val="19"/>
              </w:rPr>
              <w:t xml:space="preserve">At Risk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19"/>
                <w:szCs w:val="19"/>
              </w:rPr>
              <w:t xml:space="preserve">Compliant</w:t>
            </w:r>
          </w:p>
        </w:tc>
        <w:tc>
          <w:tcPr>
            <w:tcW w:type="dxa" w:w="2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9"/>
                <w:szCs w:val="19"/>
              </w:rPr>
              <w:t xml:space="preserve">Compliant</w:t>
            </w:r>
          </w:p>
        </w:tc>
      </w:tr>
      <w:tr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Data Control / GDPR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N/A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19"/>
                <w:szCs w:val="19"/>
              </w:rPr>
              <w:t xml:space="preserve">Risk</w:t>
            </w:r>
          </w:p>
        </w:tc>
        <w:tc>
          <w:tcPr>
            <w:tcW w:type="dxa" w:w="2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9"/>
                <w:szCs w:val="19"/>
              </w:rPr>
              <w:t xml:space="preserve">Full Control</w:t>
            </w:r>
          </w:p>
        </w:tc>
      </w:tr>
      <w:tr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Long-Term Flexibility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9"/>
                <w:szCs w:val="19"/>
              </w:rPr>
              <w:t xml:space="preserve">None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19"/>
                <w:szCs w:val="19"/>
              </w:rPr>
              <w:t xml:space="preserve">Low</w:t>
            </w:r>
          </w:p>
        </w:tc>
        <w:tc>
          <w:tcPr>
            <w:tcW w:type="dxa" w:w="2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9"/>
                <w:szCs w:val="19"/>
              </w:rPr>
              <w:t xml:space="preserve">Very High</w:t>
            </w:r>
          </w:p>
        </w:tc>
      </w:tr>
      <w:tr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Strategic Alignment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9"/>
                <w:szCs w:val="19"/>
              </w:rPr>
              <w:t xml:space="preserve">None</w:t>
            </w:r>
          </w:p>
        </w:tc>
        <w:tc>
          <w:tcPr>
            <w:tcW w:type="dxa" w:w="22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19"/>
                <w:szCs w:val="19"/>
              </w:rPr>
              <w:t xml:space="preserve">Medium</w:t>
            </w:r>
          </w:p>
        </w:tc>
        <w:tc>
          <w:tcPr>
            <w:tcW w:type="dxa" w:w="2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9"/>
                <w:szCs w:val="19"/>
              </w:rPr>
              <w:t xml:space="preserve">High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  5.  Financial Analysis — Recommended Option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5.1  Investment Summary (3-Year View)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60"/>
        <w:gridCol w:w="1600"/>
        <w:gridCol w:w="1600"/>
        <w:gridCol w:w="1600"/>
        <w:gridCol w:w="1000"/>
      </w:tblGrid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/ Benefit Item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COSTS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Build &amp; Delivery (one-off)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£1,090,000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9"/>
                <w:szCs w:val="19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CapEx</w:t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Infrastructure / Hosting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£150,000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9"/>
                <w:szCs w:val="19"/>
              </w:rPr>
              <w:t xml:space="preserve">£155,000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9"/>
                <w:szCs w:val="19"/>
              </w:rPr>
              <w:t xml:space="preserve">£160,000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OpEx</w:t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Ongoing Maintenance &amp; Support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9"/>
                <w:szCs w:val="19"/>
              </w:rPr>
              <w:t xml:space="preserve">£120,000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9"/>
                <w:szCs w:val="19"/>
              </w:rPr>
              <w:t xml:space="preserve">£120,000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OpEx</w:t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Contingency Reserve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£109,000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9"/>
                <w:szCs w:val="19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CapEx</w:t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Total Costs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£1,349,000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£275,000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£280,000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145"/>
                <w:sz w:val="19"/>
                <w:szCs w:val="19"/>
              </w:rPr>
              <w:t xml:space="preserve">BENEFITS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Fraud loss reduction (40% Yr1, 65% Yr2, 70% Yr3)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9"/>
                <w:szCs w:val="19"/>
              </w:rPr>
              <w:t xml:space="preserve">£720,000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9"/>
                <w:szCs w:val="19"/>
              </w:rPr>
              <w:t xml:space="preserve">£1,170,000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9"/>
                <w:szCs w:val="19"/>
              </w:rPr>
              <w:t xml:space="preserve">£1,260,000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Direct</w:t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Analyst FTE savings (30% efficiency gain)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9"/>
                <w:szCs w:val="19"/>
              </w:rPr>
              <w:t xml:space="preserve">£162,000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9"/>
                <w:szCs w:val="19"/>
              </w:rPr>
              <w:t xml:space="preserve">£162,000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9"/>
                <w:szCs w:val="19"/>
              </w:rPr>
              <w:t xml:space="preserve">£162,000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Direct</w:t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Chargeback cost reduction (50%)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9"/>
                <w:szCs w:val="19"/>
              </w:rPr>
              <w:t xml:space="preserve">£160,000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9"/>
                <w:szCs w:val="19"/>
              </w:rPr>
              <w:t xml:space="preserve">£160,000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9"/>
                <w:szCs w:val="19"/>
              </w:rPr>
              <w:t xml:space="preserve">£160,000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Direct</w:t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Customer attrition prevention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9"/>
                <w:szCs w:val="19"/>
              </w:rPr>
              <w:t xml:space="preserve">£140,000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9"/>
                <w:szCs w:val="19"/>
              </w:rPr>
              <w:t xml:space="preserve">£168,000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9"/>
                <w:szCs w:val="19"/>
              </w:rPr>
              <w:t xml:space="preserve">£196,000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Indirect</w:t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Regulatory fine avoidance (risk-adjusted)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9"/>
                <w:szCs w:val="19"/>
              </w:rPr>
              <w:t xml:space="preserve">£150,000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9"/>
                <w:szCs w:val="19"/>
              </w:rPr>
              <w:t xml:space="preserve">£200,000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9"/>
                <w:szCs w:val="19"/>
              </w:rPr>
              <w:t xml:space="preserve">£200,000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Indirect</w:t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145"/>
                <w:sz w:val="19"/>
                <w:szCs w:val="19"/>
              </w:rPr>
              <w:t xml:space="preserve">Total Benefits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9"/>
                <w:szCs w:val="19"/>
              </w:rPr>
              <w:t xml:space="preserve">£1,332,000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9"/>
                <w:szCs w:val="19"/>
              </w:rPr>
              <w:t xml:space="preserve">£1,860,000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9"/>
                <w:szCs w:val="19"/>
              </w:rPr>
              <w:t xml:space="preserve">£1,978,000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NET POSITION (Benefits - Costs)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AAAA"/>
                <w:sz w:val="19"/>
                <w:szCs w:val="19"/>
              </w:rPr>
              <w:t xml:space="preserve">-£17,000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FFCC"/>
                <w:sz w:val="19"/>
                <w:szCs w:val="19"/>
              </w:rPr>
              <w:t xml:space="preserve">+£1,585,000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FFCC"/>
                <w:sz w:val="19"/>
                <w:szCs w:val="19"/>
              </w:rPr>
              <w:t xml:space="preserve">+£1,698,000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3-Year Cumulative Net Benefit:</w:t>
            </w:r>
          </w:p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Total Benefits of £5,170,000 minus Total Costs of £1,904,000 = Net Benefit of £3,266,000. Break-even is achieved in Year 2 (approximately Month 17 after go-live). ROI = 171% over 3 years.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  6.  Benefits Realisation Plan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following plan defines how each benefit will be tracked, measured, and owned post-implementation: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760"/>
        <w:gridCol w:w="1600"/>
        <w:gridCol w:w="16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 / Measure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 Cadence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Fraud loss reduction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Value of fraudulent transactions prevented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7145"/>
                <w:sz w:val="19"/>
                <w:szCs w:val="19"/>
              </w:rPr>
              <w:t xml:space="preserve">40% reduction Yr1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Head of Fraud Ops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9"/>
                <w:szCs w:val="19"/>
              </w:rPr>
              <w:t xml:space="preserve">Monthly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False positive reduction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% of flagged txns that are legitimate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7145"/>
                <w:sz w:val="19"/>
                <w:szCs w:val="19"/>
              </w:rPr>
              <w:t xml:space="preserve">&lt; 2% false positive rate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Fraud Analytics Lead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9"/>
                <w:szCs w:val="19"/>
              </w:rPr>
              <w:t xml:space="preserve">Weekly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Analyst efficiency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Cases resolved per analyst per day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7145"/>
                <w:sz w:val="19"/>
                <w:szCs w:val="19"/>
              </w:rPr>
              <w:t xml:space="preserve">+30% case throughput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Fraud Ops Manager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9"/>
                <w:szCs w:val="19"/>
              </w:rPr>
              <w:t xml:space="preserve">Monthly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Customer satisfaction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Fraud-related NPS / complaint volume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7145"/>
                <w:sz w:val="19"/>
                <w:szCs w:val="19"/>
              </w:rPr>
              <w:t xml:space="preserve">25% reduction in complaints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CX Director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9"/>
                <w:szCs w:val="19"/>
              </w:rPr>
              <w:t xml:space="preserve">Quarterly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Regulatory compliance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Audit trail completeness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7145"/>
                <w:sz w:val="19"/>
                <w:szCs w:val="19"/>
              </w:rPr>
              <w:t xml:space="preserve">100% coverage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Compliance Officer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9"/>
                <w:szCs w:val="19"/>
              </w:rPr>
              <w:t xml:space="preserve">Monthly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Detection speed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Avg. time from transaction to alert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7145"/>
                <w:sz w:val="19"/>
                <w:szCs w:val="19"/>
              </w:rPr>
              <w:t xml:space="preserve">&lt; 300ms latency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IT Lead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9"/>
                <w:szCs w:val="19"/>
              </w:rPr>
              <w:t xml:space="preserve">Weekly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  7.  Key Risks to Business Case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1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Financial Impact &amp; Mitigation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Benefits not fully realised in Year 1 due to adoption lag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Reduces Year 1 ROI. Mitigation: Phased rollout with fraud ops change management programme.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Delivery cost overrun beyond 10% contingency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Medium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Budget increase needed. Mitigation: Fixed-price contracts for key workstreams; fortnightly budget reviews.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ML model under-performs in production environment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Reduced fraud catch rate. Mitigation: Champion-challenger model testing; rules engine fallback layer.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Integration delays with core banking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Delays go-live, extends cost burn. Mitigation: Early API design workshop; integration ring-fenced in Phase 1.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Regulatory changes alter compliance requirements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145"/>
                <w:sz w:val="19"/>
                <w:szCs w:val="19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Medium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Additional development cost. Mitigation: Flexible architecture; monthly compliance checkpoint.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  8.  Recommendation &amp; Decision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Recommended Option: Option 3 — Build the Real-Time Payment Fraud Prevention System Internally</w:t>
            </w:r>
          </w:p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The Business Analyst and project team recommend proceeding with Option 3 as the preferred solution. This option delivers the highest long-term value, full data control, and regulatory compliance, with a payback period of approximately 17 months and a 3-year net benefit of over £3.2M.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Executive Committee is requested to: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Approve the total project budget of £1,199,000 for Phase 1 delivery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Endorse the recommended Option 3 (Build) as the preferred strategic approach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Confirm the Chief Risk Officer as accountable Project Sponsor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Authorise recruitment of 2 additional FTEs to support delivery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Approve the project timeline targeting go-live by Q4 2026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  9.  Approval &amp; Sign-Off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By signing below, the named individuals confirm they have reviewed and approved this Business Case and authorise the release of funds.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2360"/>
        <w:gridCol w:w="20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[Name]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Chief Risk Officer (Sponsor)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9"/>
                <w:szCs w:val="19"/>
              </w:rPr>
              <w:t xml:space="preserve">____________________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9"/>
                <w:szCs w:val="19"/>
              </w:rPr>
              <w:t xml:space="preserve">____________________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[Name]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Chief Financial Officer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9"/>
                <w:szCs w:val="19"/>
              </w:rPr>
              <w:t xml:space="preserve">____________________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9"/>
                <w:szCs w:val="19"/>
              </w:rPr>
              <w:t xml:space="preserve">____________________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[Name]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Head of Fraud Operations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9"/>
                <w:szCs w:val="19"/>
              </w:rPr>
              <w:t xml:space="preserve">____________________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9"/>
                <w:szCs w:val="19"/>
              </w:rPr>
              <w:t xml:space="preserve">____________________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[Name]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Business Analyst (Author)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9"/>
                <w:szCs w:val="19"/>
              </w:rPr>
              <w:t xml:space="preserve">____________________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9"/>
                <w:szCs w:val="19"/>
              </w:rPr>
              <w:t xml:space="preserve">March 06, 2026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  10.  Document Control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3760"/>
        <w:gridCol w:w="22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 Made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v1.0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06 March 2026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Initial Business Case created — all sections drafted for ExCo review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BA Portfolio Author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400" w:after="10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— End of Document —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  <w:spacing w:before="80"/>
    </w:pPr>
    <w:r>
      <w:rPr>
        <w:rFonts w:ascii="Arial" w:cs="Arial" w:eastAsia="Arial" w:hAnsi="Arial"/>
        <w:color w:val="888888"/>
        <w:sz w:val="17"/>
        <w:szCs w:val="17"/>
      </w:rPr>
      <w:t xml:space="preserve">BA Portfolio Project  |  Version 1.0  |  March 2026</w:t>
    </w:r>
    <w:r>
      <w:rPr>
        <w:rFonts w:ascii="Arial" w:cs="Arial" w:eastAsia="Arial" w:hAnsi="Arial"/>
        <w:color w:val="888888"/>
        <w:sz w:val="17"/>
        <w:szCs w:val="17"/>
      </w:rPr>
      <w:t xml:space="preserve">	Page 2 of Project Charter Series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8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Real-Time Payment Fraud Prevention System  |  Business Case</w:t>
    </w:r>
    <w:r>
      <w:rPr>
        <w:rFonts w:ascii="Arial" w:cs="Arial" w:eastAsia="Arial" w:hAnsi="Arial"/>
        <w:color w:val="999999"/>
        <w:sz w:val="18"/>
        <w:szCs w:val="18"/>
      </w:rPr>
      <w:t xml:space="preserve">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B3A6B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2026-03-07T08:50:55.983Z</dcterms:created>
  <dcterms:modified xsi:type="dcterms:W3CDTF">2026-03-07T08:50:55.984Z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