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80"/>
              <w:bottom w:type="dxa" w:w="500"/>
              <w:right w:type="dxa" w:w="480"/>
            </w:tcMar>
          </w:tcPr>
          <w:p>
            <w:pPr>
              <w:spacing w:before="60" w:after="30"/>
              <w:jc w:val="center"/>
            </w:pPr>
            <w:r>
              <w:rPr>
                <w:rFonts w:ascii="Arial" w:cs="Arial" w:eastAsia="Arial" w:hAnsi="Arial"/>
                <w:b/>
                <w:bCs/>
                <w:color w:val="FFFFFF"/>
                <w:sz w:val="44"/>
                <w:szCs w:val="44"/>
              </w:rPr>
              <w:t xml:space="preserve">DATA ANALYSIS &amp;</w:t>
            </w:r>
          </w:p>
          <w:p>
            <w:pPr>
              <w:spacing w:before="10" w:after="40"/>
              <w:jc w:val="center"/>
            </w:pPr>
            <w:r>
              <w:rPr>
                <w:rFonts w:ascii="Arial" w:cs="Arial" w:eastAsia="Arial" w:hAnsi="Arial"/>
                <w:b/>
                <w:bCs/>
                <w:color w:val="FFFFFF"/>
                <w:sz w:val="44"/>
                <w:szCs w:val="44"/>
              </w:rPr>
              <w:t xml:space="preserve">REPORTING</w:t>
            </w:r>
          </w:p>
          <w:p>
            <w:pPr>
              <w:spacing w:before="80" w:after="60"/>
              <w:jc w:val="center"/>
            </w:pPr>
            <w:r>
              <w:rPr>
                <w:rFonts w:ascii="Arial" w:cs="Arial" w:eastAsia="Arial" w:hAnsi="Arial"/>
                <w:color w:val="A8C8E8"/>
                <w:sz w:val="28"/>
                <w:szCs w:val="28"/>
              </w:rPr>
              <w:t xml:space="preserve">Real-Time Payment Fraud Prevention System</w:t>
            </w:r>
          </w:p>
          <w:p>
            <w:pPr>
              <w:spacing w:before="40" w:after="60"/>
              <w:jc w:val="center"/>
            </w:pPr>
            <w:r>
              <w:rPr>
                <w:rFonts w:ascii="Arial" w:cs="Arial" w:eastAsia="Arial" w:hAnsi="Arial"/>
                <w:i/>
                <w:iCs/>
                <w:color w:val="7AAFCF"/>
                <w:sz w:val="19"/>
                <w:szCs w:val="19"/>
              </w:rPr>
              <w:t xml:space="preserve">Current State Analysis | KPI Framework | Fraud Trend Analysis | Post-Implementation Reporting Strategy</w:t>
            </w:r>
          </w:p>
          <w:p>
            <w:pPr>
              <w:spacing w:before="40" w:after="60"/>
              <w:jc w:val="center"/>
            </w:pPr>
            <w:r>
              <w:rPr>
                <w:rFonts w:ascii="Arial" w:cs="Arial" w:eastAsia="Arial" w:hAnsi="Arial"/>
                <w:color w:val="5599BB"/>
                <w:sz w:val="20"/>
                <w:szCs w:val="20"/>
              </w:rPr>
              <w:t xml:space="preserve">BA Portfolio Project  |  Version 1.0  |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Prepared By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March 06, 2026</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Document Type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Analytical Report &amp; MI Framework</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Status</w:t>
            </w:r>
          </w:p>
        </w:tc>
        <w:tc>
          <w:tcPr>
            <w:tcW w:type="dxa" w:w="248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bCs/>
                <w:color w:val="1E7145"/>
                <w:sz w:val="18"/>
                <w:szCs w:val="18"/>
              </w:rPr>
              <w:t xml:space="preserve">Final — Portfolio Ready</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Period Covered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Pre-Implementation Baseline (Jan–Dec 2025)</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Series Position</w:t>
            </w:r>
          </w:p>
        </w:tc>
        <w:tc>
          <w:tcPr>
            <w:tcW w:type="dxa" w:w="248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Document 6 of 6 — Final Deliverable</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  Executive Summary</w:t>
      </w:r>
    </w:p>
    <w:p>
      <w:pPr>
        <w:spacing w:before="60" w:after="80"/>
      </w:pPr>
      <w:r>
        <w:rPr>
          <w:rFonts w:ascii="Arial" w:cs="Arial" w:eastAsia="Arial" w:hAnsi="Arial"/>
          <w:color w:val="1A1A1A"/>
          <w:sz w:val="20"/>
          <w:szCs w:val="20"/>
        </w:rPr>
        <w:t xml:space="preserve">This Data Analysis &amp; Reporting document is the final deliverable in the Real-Time Payment Fraud Prevention System (RTPFPS) BA project portfolio. It serves three purposes: (1) establishing a pre-implementation baseline of current fraud performance, (2) defining the KPI framework and reporting strategy for the RTPFPS post go-live, and (3) demonstrating the analytical insights that inform system design decisions and stakeholder reporting.</w:t>
      </w:r>
    </w:p>
    <w:p>
      <w:pPr>
        <w:spacing w:before="60" w:after="80"/>
      </w:pPr>
      <w:r>
        <w:rPr>
          <w:rFonts w:ascii="Arial" w:cs="Arial" w:eastAsia="Arial" w:hAnsi="Arial"/>
          <w:color w:val="1A1A1A"/>
          <w:sz w:val="20"/>
          <w:szCs w:val="20"/>
        </w:rPr>
        <w:t xml:space="preserve">The analysis in this document is based on simulated industry-benchmark data representative of a mid-size UK retail bank processing approximately 2 million transactions per day. All figures are illustrative for portfolio demonstration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Annual Fraud Losses
(Current State)</w:t>
            </w:r>
          </w:p>
        </w:tc>
        <w:tc>
          <w:tcPr>
            <w:tcW w:type="dxa" w:w="2340"/>
            <w:tcBorders>
              <w:top w:val="single" w:color="CCCCCC" w:sz="1"/>
              <w:left w:val="single" w:color="CCCCCC" w:sz="1"/>
              <w:bottom w:val="single" w:color="CCCCCC" w:sz="1"/>
              <w:right w:val="single" w:color="CCCCCC" w:sz="1"/>
            </w:tcBorders>
            <w:shd w:fill="C55A11"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False Positive Rate
(Current State)</w:t>
            </w:r>
          </w:p>
        </w:tc>
        <w:tc>
          <w:tcPr>
            <w:tcW w:type="dxa" w:w="2340"/>
            <w:tcBorders>
              <w:top w:val="single" w:color="CCCCCC" w:sz="1"/>
              <w:left w:val="single" w:color="CCCCCC" w:sz="1"/>
              <w:bottom w:val="single" w:color="CCCCCC" w:sz="1"/>
              <w:right w:val="single" w:color="CCCCCC" w:sz="1"/>
            </w:tcBorders>
            <w:shd w:fill="E36C09"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Detection Latency
(Current State)</w:t>
            </w:r>
          </w:p>
        </w:tc>
        <w:tc>
          <w:tcPr>
            <w:tcW w:type="dxa" w:w="2340"/>
            <w:tcBorders>
              <w:top w:val="single" w:color="CCCCCC" w:sz="1"/>
              <w:left w:val="single" w:color="CCCCCC" w:sz="1"/>
              <w:bottom w:val="single" w:color="CCCCCC" w:sz="1"/>
              <w:right w:val="single" w:color="CCCCCC" w:sz="1"/>
            </w:tcBorders>
            <w:shd w:fill="5B2C8D"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Fraud Catch Rate
(Current State)</w:t>
            </w:r>
          </w:p>
        </w:tc>
      </w:tr>
      <w:tr>
        <w:tc>
          <w:tcPr>
            <w:tcW w:type="dxa" w:w="234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center"/>
            </w:pPr>
            <w:r>
              <w:rPr>
                <w:rFonts w:ascii="Arial" w:cs="Arial" w:eastAsia="Arial" w:hAnsi="Arial"/>
                <w:b/>
                <w:bCs/>
                <w:color w:val="C00000"/>
                <w:sz w:val="24"/>
                <w:szCs w:val="24"/>
              </w:rPr>
              <w:t xml:space="preserve">£3,590,000</w:t>
            </w:r>
          </w:p>
        </w:tc>
        <w:tc>
          <w:tcPr>
            <w:tcW w:type="dxa" w:w="234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center"/>
            </w:pPr>
            <w:r>
              <w:rPr>
                <w:rFonts w:ascii="Arial" w:cs="Arial" w:eastAsia="Arial" w:hAnsi="Arial"/>
                <w:b/>
                <w:bCs/>
                <w:color w:val="C55A11"/>
                <w:sz w:val="24"/>
                <w:szCs w:val="24"/>
              </w:rPr>
              <w:t xml:space="preserve">12.4%</w:t>
            </w:r>
          </w:p>
        </w:tc>
        <w:tc>
          <w:tcPr>
            <w:tcW w:type="dxa" w:w="2340"/>
            <w:tcBorders>
              <w:top w:val="single" w:color="CCCCCC" w:sz="1"/>
              <w:left w:val="single" w:color="CCCCCC" w:sz="1"/>
              <w:bottom w:val="single" w:color="CCCCCC" w:sz="1"/>
              <w:right w:val="single" w:color="CCCCCC" w:sz="1"/>
            </w:tcBorders>
            <w:shd w:fill="FDE9D9" w:val="clear"/>
            <w:tcMar>
              <w:top w:type="dxa" w:w="80"/>
              <w:left w:type="dxa" w:w="110"/>
              <w:bottom w:type="dxa" w:w="80"/>
              <w:right w:type="dxa" w:w="110"/>
            </w:tcMar>
            <w:vAlign w:val="center"/>
          </w:tcPr>
          <w:p>
            <w:pPr>
              <w:jc w:val="center"/>
            </w:pPr>
            <w:r>
              <w:rPr>
                <w:rFonts w:ascii="Arial" w:cs="Arial" w:eastAsia="Arial" w:hAnsi="Arial"/>
                <w:b/>
                <w:bCs/>
                <w:color w:val="E36C09"/>
                <w:sz w:val="24"/>
                <w:szCs w:val="24"/>
              </w:rPr>
              <w:t xml:space="preserve">4+ hours</w:t>
            </w:r>
          </w:p>
        </w:tc>
        <w:tc>
          <w:tcPr>
            <w:tcW w:type="dxa" w:w="234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center"/>
            </w:pPr>
            <w:r>
              <w:rPr>
                <w:rFonts w:ascii="Arial" w:cs="Arial" w:eastAsia="Arial" w:hAnsi="Arial"/>
                <w:b/>
                <w:bCs/>
                <w:color w:val="5B2C8D"/>
                <w:sz w:val="24"/>
                <w:szCs w:val="24"/>
              </w:rPr>
              <w:t xml:space="preserve">61%</w:t>
            </w:r>
          </w:p>
        </w:tc>
      </w:tr>
      <w:tr>
        <w:tc>
          <w:tcPr>
            <w:tcW w:type="dxa" w:w="234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Target (Post-RTPFPS): &lt; £2,150,000</w:t>
            </w:r>
          </w:p>
        </w:tc>
        <w:tc>
          <w:tcPr>
            <w:tcW w:type="dxa" w:w="234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Target: &lt; 2%</w:t>
            </w:r>
          </w:p>
        </w:tc>
        <w:tc>
          <w:tcPr>
            <w:tcW w:type="dxa" w:w="2340"/>
            <w:tcBorders>
              <w:top w:val="single" w:color="CCCCCC" w:sz="1"/>
              <w:left w:val="single" w:color="CCCCCC" w:sz="1"/>
              <w:bottom w:val="single" w:color="CCCCCC" w:sz="1"/>
              <w:right w:val="single" w:color="CCCCCC" w:sz="1"/>
            </w:tcBorders>
            <w:shd w:fill="FDE9D9" w:val="clear"/>
            <w:tcMar>
              <w:top w:type="dxa" w:w="80"/>
              <w:left w:type="dxa" w:w="110"/>
              <w:bottom w:type="dxa" w:w="80"/>
              <w:right w:type="dxa" w:w="110"/>
            </w:tcMar>
            <w:vAlign w:val="center"/>
          </w:tcPr>
          <w:p>
            <w:pPr>
              <w:jc w:val="center"/>
            </w:pPr>
            <w:r>
              <w:rPr>
                <w:rFonts w:ascii="Arial" w:cs="Arial" w:eastAsia="Arial" w:hAnsi="Arial"/>
                <w:b w:val="false"/>
                <w:bCs w:val="false"/>
                <w:color w:val="E36C09"/>
                <w:sz w:val="18"/>
                <w:szCs w:val="18"/>
              </w:rPr>
              <w:t xml:space="preserve">Target: &lt; 300ms</w:t>
            </w:r>
          </w:p>
        </w:tc>
        <w:tc>
          <w:tcPr>
            <w:tcW w:type="dxa" w:w="234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Target: &gt; 90%</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2.  Current State Fraud Analysis — Pre-Implementation Baseline</w:t>
      </w:r>
    </w:p>
    <w:p>
      <w:pPr>
        <w:spacing w:before="60" w:after="80"/>
      </w:pPr>
      <w:r>
        <w:rPr>
          <w:rFonts w:ascii="Arial" w:cs="Arial" w:eastAsia="Arial" w:hAnsi="Arial"/>
          <w:color w:val="1A1A1A"/>
          <w:sz w:val="20"/>
          <w:szCs w:val="20"/>
        </w:rPr>
        <w:t xml:space="preserve">This section documents the organisation's fraud performance in the 12 months prior to RTPFPS implementation (January–December 2025). This baseline is critical for measuring post-implementation benefit realisation and demonstrating ROI to the executive team.</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2.1  Annual Fraud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1200"/>
        <w:gridCol w:w="1200"/>
      </w:tblGrid>
      <w:tr>
        <w:tc>
          <w:tcPr>
            <w:tcW w:type="dxa" w:w="3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H1 2025
(Jan–Jun)</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H2 2025
(Jul–Dec)</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Full Year 2025</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Trend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Total Transactions Processed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356M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364M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720M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+2.2%</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Total Fraud Incidents Detected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18,450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22,310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40,760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+20.9%</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Incidents Missed (estimated)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15,400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26,600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+37.5%</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Total Confirmed Fraud Value (Losses)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£1,620,000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£1,970,000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£3,590,000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+21.6%</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Average Fraud Value per Incident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£87.80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£88.30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£88.10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STABLE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False Positives (legitimate txns flagged)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2,288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2,875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5,163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+25.6%</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False Positive Rate (% of flagged txns)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WORSENING</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Average Detection Time (batch lag)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4.2 hours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4.6 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4.4 hours avg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WORSENING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Catch Rate (detected / total 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62.2%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59.2%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DECLINING</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Chargeback Cases Processed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4,120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5,210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9,330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+26.5%</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Cost of Manual Analyst Team (FTE x12)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£270,000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£270,000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£540,000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STABLE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Fraud Complaints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3,840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4,290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8,130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UP +11.7%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30"/>
              <w:left w:type="dxa" w:w="220"/>
              <w:bottom w:type="dxa" w:w="130"/>
              <w:right w:type="dxa" w:w="220"/>
            </w:tcMar>
          </w:tcPr>
          <w:p>
            <w:r>
              <w:rPr>
                <w:rFonts w:ascii="Arial" w:cs="Arial" w:eastAsia="Arial" w:hAnsi="Arial"/>
                <w:b/>
                <w:bCs/>
                <w:color w:val="C00000"/>
                <w:sz w:val="20"/>
                <w:szCs w:val="20"/>
              </w:rPr>
              <w:t xml:space="preserve">Key Analyst Insight:</w:t>
            </w:r>
          </w:p>
          <w:p>
            <w:pPr>
              <w:spacing w:before="50"/>
            </w:pPr>
            <w:r>
              <w:rPr>
                <w:rFonts w:ascii="Arial" w:cs="Arial" w:eastAsia="Arial" w:hAnsi="Arial"/>
                <w:color w:val="1A1A1A"/>
                <w:sz w:val="19"/>
                <w:szCs w:val="19"/>
              </w:rPr>
              <w:t xml:space="preserve">The data shows a dangerous acceleration in both fraud volume (+20.9%) and missed incidents (+37.5%) in 2025, while the fraud catch rate declined from 62.2% to 59.2% across the two halves of the year. This indicates the current rule-based system is falling further behind the evolving fraud landscape. Without intervention, projected 2026 fraud losses would exceed £4.3M — a 20% year-on-year increase.</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2.2  Fraud by Channel Analysis</w:t>
      </w:r>
    </w:p>
    <w:p>
      <w:pPr>
        <w:spacing w:before="60" w:after="60"/>
      </w:pPr>
      <w:r>
        <w:t xml:space="preserve"/>
      </w:r>
    </w:p>
    <w:p>
      <w:pPr>
        <w:spacing w:before="180" w:after="80"/>
      </w:pPr>
      <w:r>
        <w:rPr>
          <w:rFonts w:ascii="Arial" w:cs="Arial" w:eastAsia="Arial" w:hAnsi="Arial"/>
          <w:b/>
          <w:bCs/>
          <w:color w:val="2E75B6"/>
          <w:sz w:val="20"/>
          <w:szCs w:val="20"/>
        </w:rPr>
        <w:t xml:space="preserve">Fraud Incident Volume by Payment Channel (Full Year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360"/>
        <w:gridCol w:w="100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Category</w:t>
            </w:r>
          </w:p>
        </w:tc>
        <w:tc>
          <w:tcPr>
            <w:tcW w:type="dxa" w:w="4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Volume / Trend</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Value (% of total)</w:t>
            </w:r>
          </w:p>
        </w:tc>
        <w:tc>
          <w:tcPr>
            <w:tcW w:type="dxa" w:w="1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vs.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Online / CNP</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800"/>
              <w:gridCol w:w="1"/>
            </w:tblGrid>
            <w:tr>
              <w:tc>
                <w:tcPr>
                  <w:tcW w:type="dxa" w:w="4800"/>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1"/>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16,340 detected
6,000 missed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Mobile Banking</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456"/>
              <w:gridCol w:w="1344"/>
            </w:tblGrid>
            <w:tr>
              <w:tc>
                <w:tcPr>
                  <w:tcW w:type="dxa" w:w="3456"/>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1344"/>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10,400 detected
5,610 missed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POS / Contactless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824"/>
              <w:gridCol w:w="2976"/>
            </w:tblGrid>
            <w:tr>
              <w:tc>
                <w:tcPr>
                  <w:tcW w:type="dxa" w:w="1824"/>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2976"/>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6,230 detected
2,220 missed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ATM / Cash</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1008"/>
              <w:gridCol w:w="3792"/>
            </w:tblGrid>
            <w:tr>
              <w:tc>
                <w:tcPr>
                  <w:tcW w:type="dxa" w:w="1008"/>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3792"/>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3,120 detected
1,550 missed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Open Banking API</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720"/>
              <w:gridCol w:w="4080"/>
            </w:tblGrid>
            <w:tr>
              <w:tc>
                <w:tcPr>
                  <w:tcW w:type="dxa" w:w="720"/>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4080"/>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1,800 detected
1,540 missed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SWIFT / Wire</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84"/>
              <w:gridCol w:w="4416"/>
            </w:tblGrid>
            <w:tr>
              <w:tc>
                <w:tcPr>
                  <w:tcW w:type="dxa" w:w="384"/>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4416"/>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defaul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870 detected
910 missed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30"/>
              <w:left w:type="dxa" w:w="220"/>
              <w:bottom w:type="dxa" w:w="130"/>
              <w:right w:type="dxa" w:w="220"/>
            </w:tcMar>
          </w:tcPr>
          <w:p>
            <w:r>
              <w:rPr>
                <w:rFonts w:ascii="Arial" w:cs="Arial" w:eastAsia="Arial" w:hAnsi="Arial"/>
                <w:b/>
                <w:bCs/>
                <w:color w:val="2E75B6"/>
                <w:sz w:val="20"/>
                <w:szCs w:val="20"/>
              </w:rPr>
              <w:t xml:space="preserve">Channel Insight:</w:t>
            </w:r>
          </w:p>
          <w:p>
            <w:pPr>
              <w:spacing w:before="50"/>
            </w:pPr>
            <w:r>
              <w:rPr>
                <w:rFonts w:ascii="Arial" w:cs="Arial" w:eastAsia="Arial" w:hAnsi="Arial"/>
                <w:color w:val="1A1A1A"/>
                <w:sz w:val="19"/>
                <w:szCs w:val="19"/>
              </w:rPr>
              <w:t xml:space="preserve">Online / Card-Not-Present (CNP) fraud accounts for the largest share of incidents (22,340) and also has the highest proportion of missed fraud — approximately 27% of CNP incidents are not detected by the current system. Open Banking API fraud is the fastest-growing vector, with over 46% of incidents currently going undetected. This directly drives the requirement for CNP-specific detection logic (BR-09) and behavioural analytics (BR-06) in the RTPFPS.</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2.3  Fraud by Type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1400"/>
        <w:gridCol w:w="160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Fraud Type</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Incidents
2025</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Value (£)</w:t>
            </w:r>
          </w:p>
        </w:tc>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Avg Value
per Case (£)</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Current
Detect Rate</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YoY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Card-Not-Present (CNP)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22,340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£1,430,000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£64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Account Takeover (ATO)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7,210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£890,000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£123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54%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+31%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Authorised Push Payment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4,430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£620,000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44%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+47%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Synthetic Identity Fraud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3,190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£410,000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£129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38%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Velocity / Card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5,840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£120,000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Insider / First Party Fraud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980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£104,000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£106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ATM / Device Compromise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1,780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£16,000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30"/>
              <w:left w:type="dxa" w:w="220"/>
              <w:bottom w:type="dxa" w:w="130"/>
              <w:right w:type="dxa" w:w="220"/>
            </w:tcMar>
          </w:tcPr>
          <w:p>
            <w:r>
              <w:rPr>
                <w:rFonts w:ascii="Arial" w:cs="Arial" w:eastAsia="Arial" w:hAnsi="Arial"/>
                <w:b/>
                <w:bCs/>
                <w:color w:val="C55A11"/>
                <w:sz w:val="20"/>
                <w:szCs w:val="20"/>
              </w:rPr>
              <w:t xml:space="preserve">Critical Insight — Fastest Growing Fraud Types:</w:t>
            </w:r>
          </w:p>
          <w:p>
            <w:pPr>
              <w:spacing w:before="50"/>
            </w:pPr>
            <w:r>
              <w:rPr>
                <w:rFonts w:ascii="Arial" w:cs="Arial" w:eastAsia="Arial" w:hAnsi="Arial"/>
                <w:color w:val="1A1A1A"/>
                <w:sz w:val="19"/>
                <w:szCs w:val="19"/>
              </w:rPr>
              <w:t xml:space="preserve">Synthetic Identity Fraud (+62% YoY) and Authorised Push Payment (APP) Fraud (+47% YoY) are the two fastest-growing fraud vectors, yet they have the lowest detection rates (38% and 44% respectively). APP fraud alone represents £620,000 in losses with a detection rate below 50%. This directly supports the design decision to include ML-based behavioural analytics (BR-06, FR-04) and synthetic identity detection (BR-10) as high-priority system capabilities in the RTPFPS.</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2.4  Analyst Workload &amp; Performance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400"/>
        <w:gridCol w:w="1400"/>
        <w:gridCol w:w="1600"/>
      </w:tblGrid>
      <w:tr>
        <w:tc>
          <w:tcPr>
            <w:tcW w:type="dxa" w:w="3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Analyst Performance Metric</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Q1 2025</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Q2 2025</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Q3 2025</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Q4 2025</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Avg. cases reviewed per analyst per 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34</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Avg. time to review one case (minutes)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24 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26 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22 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21 min</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Cases exceeding 30-min SLA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19%</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Cases escalated to senior analyst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13%</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False positive rate (analyst-confirmed)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12.4%</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accuracy rate (correct decisions)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91.2%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90.8%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92.1%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91.6%</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Total cases manually reviewed (team x12)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24,480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26,160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28,368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31,008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E" w:val="clear"/>
            <w:tcMar>
              <w:top w:type="dxa" w:w="130"/>
              <w:left w:type="dxa" w:w="220"/>
              <w:bottom w:type="dxa" w:w="130"/>
              <w:right w:type="dxa" w:w="220"/>
            </w:tcMar>
          </w:tcPr>
          <w:p>
            <w:r>
              <w:rPr>
                <w:rFonts w:ascii="Arial" w:cs="Arial" w:eastAsia="Arial" w:hAnsi="Arial"/>
                <w:b/>
                <w:bCs/>
                <w:color w:val="0D6E6E"/>
                <w:sz w:val="20"/>
                <w:szCs w:val="20"/>
              </w:rPr>
              <w:t xml:space="preserve">Workload Insight:</w:t>
            </w:r>
          </w:p>
          <w:p>
            <w:pPr>
              <w:spacing w:before="50"/>
            </w:pPr>
            <w:r>
              <w:rPr>
                <w:rFonts w:ascii="Arial" w:cs="Arial" w:eastAsia="Arial" w:hAnsi="Arial"/>
                <w:color w:val="1A1A1A"/>
                <w:sz w:val="19"/>
                <w:szCs w:val="19"/>
              </w:rPr>
              <w:t xml:space="preserve">The total number of manually reviewed cases grew 26.8% from Q1 to Q4 2025, rising from 24,480 to 31,008 per quarter — driven by increasing fraud volumes and a high false positive rate consistently above 11%. The proportion of cases breaching the 30-minute SLA review target remained stubbornly above 17% throughout the year, indicating that current team capacity is insufficient to keep pace with growing volumes. The RTPFPS targets a 30% reduction in analyst manual workload through automated triage and improved precision (BR-04).</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3.  Post-Implementation KPI Framework</w:t>
      </w:r>
    </w:p>
    <w:p>
      <w:pPr>
        <w:spacing w:before="60" w:after="80"/>
      </w:pPr>
      <w:r>
        <w:rPr>
          <w:rFonts w:ascii="Arial" w:cs="Arial" w:eastAsia="Arial" w:hAnsi="Arial"/>
          <w:color w:val="1A1A1A"/>
          <w:sz w:val="20"/>
          <w:szCs w:val="20"/>
        </w:rPr>
        <w:t xml:space="preserve">The following KPI framework defines all performance metrics that will be tracked, reported, and reviewed once the RTPFPS is live. Each KPI has a defined baseline (current state), target (post-implementation), measurement method, reporting frequency, and accountable owner. This framework links directly to the Business Case benefit realisation plan.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1"/>
                <w:szCs w:val="21"/>
              </w:rPr>
              <w:t xml:space="preserve">3.1  Tier 1 KPIs — Strategic (Executive / Board Level)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1360"/>
        <w:gridCol w:w="1360"/>
        <w:gridCol w:w="1480"/>
        <w:gridCol w:w="1800"/>
      </w:tblGrid>
      <w:tr>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KPI Name</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Baseline
(2025)</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Year 1 Target</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Year 2 Target</w:t>
            </w:r>
          </w:p>
        </w:tc>
        <w:tc>
          <w:tcPr>
            <w:tcW w:type="dxa" w:w="148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Reporting
Cadence</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Total Fraud Loss Value (£)</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£3,590,000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£2,154,000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£1,256,500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Loss as % of Revenue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0.31%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0.19%</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0.11%</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Quarterly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CRO / CFO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Overall Fraud Catch Rate (%)</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60.5%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85%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92%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Regulatory Compliance Score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At Risk</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Fully Compliant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Fully Compliant</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Quarterly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Compliance Officer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Fraud Complaints (vol)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8,130 / year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6,100 / year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4,060 / year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CX Director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ROI on RTPFPS Investment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N/A</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Breakeven (Month 17)</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171% ROI</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Annually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CFO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3.2  Tier 2 KPIs — Operational (Fraud Operations Level)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60"/>
        <w:gridCol w:w="1260"/>
        <w:gridCol w:w="1260"/>
        <w:gridCol w:w="1480"/>
        <w:gridCol w:w="190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KPI Name</w:t>
            </w:r>
          </w:p>
        </w:tc>
        <w:tc>
          <w:tcPr>
            <w:tcW w:type="dxa" w:w="12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Baseline</w:t>
            </w:r>
          </w:p>
        </w:tc>
        <w:tc>
          <w:tcPr>
            <w:tcW w:type="dxa" w:w="12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6-Month Target</w:t>
            </w:r>
          </w:p>
        </w:tc>
        <w:tc>
          <w:tcPr>
            <w:tcW w:type="dxa" w:w="12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12-Month Target</w:t>
            </w:r>
          </w:p>
        </w:tc>
        <w:tc>
          <w:tcPr>
            <w:tcW w:type="dxa" w:w="148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Cadence</w:t>
            </w:r>
          </w:p>
        </w:tc>
        <w:tc>
          <w:tcPr>
            <w:tcW w:type="dxa" w:w="19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Transaction Detection Latency (P95)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4.4 hours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500ms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300ms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Weekly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IT / Engineering Lead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False Positive Rate (%)</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12.4%</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5%</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2%</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Weekly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Analytics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True Positive Rate (Precision) (%)</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61%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90%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Weekly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Analytics Lead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Cases Reviewed Within 30-Min SLA (%)</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81%</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90%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95%</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Daily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Avg. Cases per Analyst per Day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22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21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Weekly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Ops 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 Escalation Rate (%)</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12.5%</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8%</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6%</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Weekly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Automated Triage Rate (no analyst needed)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50%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IT / Data Science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Rule Update Cycle Time (days)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14 days (IT ticket)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Same day</w:t>
            </w:r>
          </w:p>
        </w:tc>
        <w:tc>
          <w:tcPr>
            <w:tcW w:type="dxa" w:w="12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&lt; 1 hour</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Ops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Decision Accuracy (%)</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91.4%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93%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&gt; 95%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Monthly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FFFFFF"/>
                <w:sz w:val="21"/>
                <w:szCs w:val="21"/>
              </w:rPr>
              <w:t xml:space="preserve">3.3  Tier 3 KPIs — Technical &amp; System Performance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560"/>
        <w:gridCol w:w="240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KPI Name</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SLA Target</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Alert Threshold</w:t>
            </w:r>
          </w:p>
        </w:tc>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Cadence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Monitoring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Transaction scoring latency (P95)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300ms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&gt; 400ms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APM / Datadog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availability (uptime)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99.95%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&lt; 99.9% in rolling 24h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Infrastructure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Peak throughput capacity (TPS)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2,000 TPS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&lt; 1,500 TPS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Load monitoring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API error rate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&gt; 0.5%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API Gateway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model prediction latency (P95)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150ms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&gt; 200ms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ML service monitoring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log write success rate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Any failure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DB write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Alert delivery success rate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99.5%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&lt; 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Notification service logs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 creation success rate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Any failure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Real-time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CMS health 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Data pipeline freshness (max 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&gt; 30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E75B6"/>
                <w:sz w:val="18"/>
                <w:szCs w:val="18"/>
              </w:rPr>
              <w:t xml:space="preserve">Hourly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Kafka consumer lag monitor</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4.  Fraud Trend Analysis &amp; Insights</w:t>
      </w:r>
    </w:p>
    <w:p>
      <w:pPr>
        <w:pStyle w:val="Heading2"/>
        <w:spacing w:before="240" w:after="100"/>
      </w:pPr>
      <w:r>
        <w:rPr>
          <w:rFonts w:ascii="Arial" w:cs="Arial" w:eastAsia="Arial" w:hAnsi="Arial"/>
          <w:b/>
          <w:bCs/>
          <w:color w:val="2E75B6"/>
          <w:sz w:val="22"/>
          <w:szCs w:val="22"/>
        </w:rPr>
        <w:t xml:space="preserve">4.1  Monthly Fraud Loss Trend — 2025</w:t>
      </w:r>
    </w:p>
    <w:p>
      <w:pPr>
        <w:spacing w:before="60" w:after="60"/>
      </w:pPr>
      <w:r>
        <w:t xml:space="preserve"/>
      </w:r>
    </w:p>
    <w:p>
      <w:pPr>
        <w:spacing w:before="180" w:after="80"/>
      </w:pPr>
      <w:r>
        <w:rPr>
          <w:rFonts w:ascii="Arial" w:cs="Arial" w:eastAsia="Arial" w:hAnsi="Arial"/>
          <w:b/>
          <w:bCs/>
          <w:color w:val="2E75B6"/>
          <w:sz w:val="20"/>
          <w:szCs w:val="20"/>
        </w:rPr>
        <w:t xml:space="preserve">Monthly Confirmed Fraud Loss Value — Jan to Dec 2025 (£000s)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360"/>
        <w:gridCol w:w="100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Category</w:t>
            </w:r>
          </w:p>
        </w:tc>
        <w:tc>
          <w:tcPr>
            <w:tcW w:type="dxa" w:w="4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Volume / Trend</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Value (£)</w:t>
            </w:r>
          </w:p>
        </w:tc>
        <w:tc>
          <w:tcPr>
            <w:tcW w:type="dxa" w:w="1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vs.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January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2779"/>
              <w:gridCol w:w="2021"/>
            </w:tblGrid>
            <w:tr>
              <w:tc>
                <w:tcPr>
                  <w:tcW w:type="dxa" w:w="2779"/>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2021"/>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£215,000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Above avg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February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2400"/>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£187,000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Below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March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284"/>
              <w:gridCol w:w="1516"/>
            </w:tblGrid>
            <w:tr>
              <w:tc>
                <w:tcPr>
                  <w:tcW w:type="dxa" w:w="3284"/>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516"/>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£256,000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April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2905"/>
              <w:gridCol w:w="1895"/>
            </w:tblGrid>
            <w:tr>
              <w:tc>
                <w:tcPr>
                  <w:tcW w:type="dxa" w:w="2905"/>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895"/>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£225,000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Above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May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2526"/>
              <w:gridCol w:w="2274"/>
            </w:tblGrid>
            <w:tr>
              <w:tc>
                <w:tcPr>
                  <w:tcW w:type="dxa" w:w="2526"/>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2274"/>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£198,000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Average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June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474"/>
              <w:gridCol w:w="1326"/>
            </w:tblGrid>
            <w:tr>
              <w:tc>
                <w:tcPr>
                  <w:tcW w:type="dxa" w:w="3474"/>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326"/>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£269,000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Peak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July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158"/>
              <w:gridCol w:w="1642"/>
            </w:tblGrid>
            <w:tr>
              <w:tc>
                <w:tcPr>
                  <w:tcW w:type="dxa" w:w="3158"/>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642"/>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£245,000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August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789"/>
              <w:gridCol w:w="1011"/>
            </w:tblGrid>
            <w:tr>
              <w:tc>
                <w:tcPr>
                  <w:tcW w:type="dxa" w:w="3789"/>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011"/>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£294,000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Peak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September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663"/>
              <w:gridCol w:w="1137"/>
            </w:tblGrid>
            <w:tr>
              <w:tc>
                <w:tcPr>
                  <w:tcW w:type="dxa" w:w="3663"/>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137"/>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£284,000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Peak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October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105"/>
              <w:gridCol w:w="695"/>
            </w:tblGrid>
            <w:tr>
              <w:tc>
                <w:tcPr>
                  <w:tcW w:type="dxa" w:w="4105"/>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695"/>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£319,000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November 2025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295"/>
              <w:gridCol w:w="505"/>
            </w:tblGrid>
            <w:tr>
              <w:tc>
                <w:tcPr>
                  <w:tcW w:type="dxa" w:w="4295"/>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505"/>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£333,000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Record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December 2025</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800"/>
              <w:gridCol w:w="1"/>
            </w:tblGrid>
            <w:tr>
              <w:tc>
                <w:tcPr>
                  <w:tcW w:type="dxa" w:w="4800"/>
                  <w:tcBorders>
                    <w:top w:val="none" w:color="FFFFFF" w:sz="0"/>
                    <w:left w:val="none" w:color="FFFFFF" w:sz="0"/>
                    <w:bottom w:val="none" w:color="FFFFFF" w:sz="0"/>
                    <w:right w:val="none" w:color="FFFFFF" w:sz="0"/>
                  </w:tcBorders>
                  <w:shd w:fill="C00000" w:val="clear"/>
                </w:tcPr>
                <w:p>
                  <w:r>
                    <w:rPr>
                      <w:sz w:val="14"/>
                      <w:szCs w:val="14"/>
                    </w:rPr>
                    <w:t xml:space="preserve"> </w:t>
                  </w:r>
                </w:p>
              </w:tc>
              <w:tc>
                <w:tcPr>
                  <w:tcW w:type="dxa" w:w="1"/>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£372,000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30"/>
              <w:left w:type="dxa" w:w="220"/>
              <w:bottom w:type="dxa" w:w="130"/>
              <w:right w:type="dxa" w:w="220"/>
            </w:tcMar>
          </w:tcPr>
          <w:p>
            <w:r>
              <w:rPr>
                <w:rFonts w:ascii="Arial" w:cs="Arial" w:eastAsia="Arial" w:hAnsi="Arial"/>
                <w:b/>
                <w:bCs/>
                <w:color w:val="C00000"/>
                <w:sz w:val="20"/>
                <w:szCs w:val="20"/>
              </w:rPr>
              <w:t xml:space="preserve">Trend Insight — Accelerating Losses:</w:t>
            </w:r>
          </w:p>
          <w:p>
            <w:pPr>
              <w:spacing w:before="50"/>
            </w:pPr>
            <w:r>
              <w:rPr>
                <w:rFonts w:ascii="Arial" w:cs="Arial" w:eastAsia="Arial" w:hAnsi="Arial"/>
                <w:color w:val="1A1A1A"/>
                <w:sz w:val="19"/>
                <w:szCs w:val="19"/>
              </w:rPr>
              <w:t xml:space="preserve">The monthly fraud loss chart reveals a clear and worsening trend throughout 2025. Losses in December 2025 (£372,000) were 73% higher than January 2025 (£215,000), representing month-on-month acceleration that shows no signs of plateauing. The steepest increases occurred in Q4 2025, coinciding with the peak Christmas and Black Friday transaction period — a known high-risk window that the RTPFPS must be specifically tuned to handle with enhanced seasonal fraud rules.</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4.2  Fraud Detection Rate Trend — 2025</w:t>
      </w:r>
    </w:p>
    <w:p>
      <w:pPr>
        <w:spacing w:before="60" w:after="60"/>
      </w:pPr>
      <w:r>
        <w:t xml:space="preserve"/>
      </w:r>
    </w:p>
    <w:p>
      <w:pPr>
        <w:spacing w:before="180" w:after="80"/>
      </w:pPr>
      <w:r>
        <w:rPr>
          <w:rFonts w:ascii="Arial" w:cs="Arial" w:eastAsia="Arial" w:hAnsi="Arial"/>
          <w:b/>
          <w:bCs/>
          <w:color w:val="2E75B6"/>
          <w:sz w:val="20"/>
          <w:szCs w:val="20"/>
        </w:rPr>
        <w:t xml:space="preserve">Monthly Fraud Detection Rate (%) — Jan to 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360"/>
        <w:gridCol w:w="100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Category</w:t>
            </w:r>
          </w:p>
        </w:tc>
        <w:tc>
          <w:tcPr>
            <w:tcW w:type="dxa" w:w="4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Volume / Trend</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Value (%)</w:t>
            </w:r>
          </w:p>
        </w:tc>
        <w:tc>
          <w:tcPr>
            <w:tcW w:type="dxa" w:w="1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vs.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January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800"/>
              <w:gridCol w:w="1"/>
            </w:tblGrid>
            <w:tr>
              <w:tc>
                <w:tcPr>
                  <w:tcW w:type="dxa" w:w="4800"/>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1"/>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68.2%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Above target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February</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729"/>
              <w:gridCol w:w="71"/>
            </w:tblGrid>
            <w:tr>
              <w:tc>
                <w:tcPr>
                  <w:tcW w:type="dxa" w:w="4729"/>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71"/>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67.4%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Above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March</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588"/>
              <w:gridCol w:w="212"/>
            </w:tblGrid>
            <w:tr>
              <w:tc>
                <w:tcPr>
                  <w:tcW w:type="dxa" w:w="4588"/>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212"/>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64.8%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Declining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April</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518"/>
              <w:gridCol w:w="282"/>
            </w:tblGrid>
            <w:tr>
              <w:tc>
                <w:tcPr>
                  <w:tcW w:type="dxa" w:w="4518"/>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282"/>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63.6%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Declining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447"/>
              <w:gridCol w:w="353"/>
            </w:tblGrid>
            <w:tr>
              <w:tc>
                <w:tcPr>
                  <w:tcW w:type="dxa" w:w="4447"/>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353"/>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Declining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June</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306"/>
              <w:gridCol w:w="494"/>
            </w:tblGrid>
            <w:tr>
              <w:tc>
                <w:tcPr>
                  <w:tcW w:type="dxa" w:w="4306"/>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494"/>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61.3%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Below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July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235"/>
              <w:gridCol w:w="565"/>
            </w:tblGrid>
            <w:tr>
              <w:tc>
                <w:tcPr>
                  <w:tcW w:type="dxa" w:w="4235"/>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565"/>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Declining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August</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094"/>
              <w:gridCol w:w="706"/>
            </w:tblGrid>
            <w:tr>
              <w:tc>
                <w:tcPr>
                  <w:tcW w:type="dxa" w:w="4094"/>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706"/>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58.2%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Poor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September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024"/>
              <w:gridCol w:w="776"/>
            </w:tblGrid>
            <w:tr>
              <w:tc>
                <w:tcPr>
                  <w:tcW w:type="dxa" w:w="4024"/>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776"/>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57.1%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Poor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October</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953"/>
              <w:gridCol w:w="847"/>
            </w:tblGrid>
            <w:tr>
              <w:tc>
                <w:tcPr>
                  <w:tcW w:type="dxa" w:w="3953"/>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847"/>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56.4%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November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882"/>
              <w:gridCol w:w="918"/>
            </w:tblGrid>
            <w:tr>
              <w:tc>
                <w:tcPr>
                  <w:tcW w:type="dxa" w:w="3882"/>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918"/>
                  <w:tcBorders>
                    <w:top w:val="none" w:color="FFFFFF" w:sz="0"/>
                    <w:left w:val="none" w:color="FFFFFF" w:sz="0"/>
                    <w:bottom w:val="none" w:color="FFFFFF" w:sz="0"/>
                    <w:right w:val="none" w:color="FFFFFF" w:sz="0"/>
                  </w:tcBorders>
                  <w:shd w:fill="FFFFFF"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55.3%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December</w:t>
            </w:r>
          </w:p>
        </w:tc>
        <w:tc>
          <w:tcPr>
            <w:tcW w:type="dxa" w:w="4800"/>
            <w:tcBorders>
              <w:top w:val="single" w:color="CCCCCC" w:sz="1"/>
              <w:left w:val="single" w:color="CCCCCC" w:sz="1"/>
              <w:bottom w:val="single" w:color="CCCCCC" w:sz="1"/>
              <w:right w:val="single" w:color="CCCCCC" w:sz="1"/>
            </w:tcBorders>
            <w:shd w:fill="F2F2F2" w:val="clear"/>
            <w:tcMar>
              <w:top w:type="dxa" w:w="100"/>
              <w:left w:type="dxa" w:w="80"/>
              <w:bottom w:type="dxa" w:w="100"/>
              <w:right w:type="dxa" w:w="80"/>
            </w:tcMar>
          </w:tcPr>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3812"/>
              <w:gridCol w:w="988"/>
            </w:tblGrid>
            <w:tr>
              <w:tc>
                <w:tcPr>
                  <w:tcW w:type="dxa" w:w="3812"/>
                  <w:tcBorders>
                    <w:top w:val="none" w:color="FFFFFF" w:sz="0"/>
                    <w:left w:val="none" w:color="FFFFFF" w:sz="0"/>
                    <w:bottom w:val="none" w:color="FFFFFF" w:sz="0"/>
                    <w:right w:val="none" w:color="FFFFFF" w:sz="0"/>
                  </w:tcBorders>
                  <w:shd w:fill="2E75B6" w:val="clear"/>
                </w:tcPr>
                <w:p>
                  <w:r>
                    <w:rPr>
                      <w:sz w:val="14"/>
                      <w:szCs w:val="14"/>
                    </w:rPr>
                    <w:t xml:space="preserve"> </w:t>
                  </w:r>
                </w:p>
              </w:tc>
              <w:tc>
                <w:tcPr>
                  <w:tcW w:type="dxa" w:w="988"/>
                  <w:tcBorders>
                    <w:top w:val="none" w:color="FFFFFF" w:sz="0"/>
                    <w:left w:val="none" w:color="FFFFFF" w:sz="0"/>
                    <w:bottom w:val="none" w:color="FFFFFF" w:sz="0"/>
                    <w:right w:val="none" w:color="FFFFFF" w:sz="0"/>
                  </w:tcBorders>
                  <w:shd w:fill="F2F2F2" w:val="clear"/>
                </w:tcPr>
                <w:p>
                  <w:r>
                    <w:rPr>
                      <w:sz w:val="14"/>
                      <w:szCs w:val="14"/>
                    </w:rPr>
                    <w:t xml:space="preserve"> </w:t>
                  </w:r>
                </w:p>
              </w:tc>
            </w:tr>
          </w:tbl>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54.1%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Critical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E0F5" w:val="clear"/>
            <w:tcMar>
              <w:top w:type="dxa" w:w="130"/>
              <w:left w:type="dxa" w:w="220"/>
              <w:bottom w:type="dxa" w:w="130"/>
              <w:right w:type="dxa" w:w="220"/>
            </w:tcMar>
          </w:tcPr>
          <w:p>
            <w:r>
              <w:rPr>
                <w:rFonts w:ascii="Arial" w:cs="Arial" w:eastAsia="Arial" w:hAnsi="Arial"/>
                <w:b/>
                <w:bCs/>
                <w:color w:val="5B2C8D"/>
                <w:sz w:val="20"/>
                <w:szCs w:val="20"/>
              </w:rPr>
              <w:t xml:space="preserve">Detection Rate Insight:</w:t>
            </w:r>
          </w:p>
          <w:p>
            <w:pPr>
              <w:spacing w:before="50"/>
            </w:pPr>
            <w:r>
              <w:rPr>
                <w:rFonts w:ascii="Arial" w:cs="Arial" w:eastAsia="Arial" w:hAnsi="Arial"/>
                <w:color w:val="1A1A1A"/>
                <w:sz w:val="19"/>
                <w:szCs w:val="19"/>
              </w:rPr>
              <w:t xml:space="preserve">The fraud detection rate declined steadily every single month in 2025 — from 68.2% in January to 54.1% in December, a drop of 14.1 percentage points across the year. This means that by December 2025, nearly 1 in 2 fraud incidents was going undetected. The deterioration is driven by evolving fraud patterns outpacing the static rule set. This is the most critical data point justifying the RTPFPS ML model capability (FR-04) — static rules alone cannot keep pace with adaptive fraud actors.</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4.3  Root Cause Analysis — Why Current System Is Failing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3200"/>
      </w:tblGrid>
      <w:tr>
        <w:tc>
          <w:tcPr>
            <w:tcW w:type="dxa" w:w="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Root Cause</w:t>
            </w:r>
          </w:p>
        </w:tc>
        <w:tc>
          <w:tcPr>
            <w:tcW w:type="dxa" w:w="31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Evidence</w:t>
            </w:r>
          </w:p>
        </w:tc>
        <w:tc>
          <w:tcPr>
            <w:tcW w:type="dxa" w:w="3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RTPFPS Solution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Batch processing — 4+ hour lag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Detection rate declining monthly; fraud unrecovered by the time it is flagged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Real-time scoring pipeline processing every transaction within 300ms (FR-01, FR-05)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Static rules — no learning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Detection rate fell 14 points in 12 months as fraud patterns evolved beyond rules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ML model with continuous retraining from analyst feedback (FR-04, FR-15)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 false positive rate (12.4%)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5,163 legitimate transactions blocked in 2025 — £150K estimated lost revenue and customer friction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ML precision targeting &lt; 2% FP rate; behavioural analytics reduces noise (BR-03, FR-04)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No behavioural baseline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APP and ATO fraud (highest value types) have lowest detection rates as system cannot spot deviation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90-day customer behavioural profiling with anomaly detection (BR-06, FR-03)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Siloed data — no unified 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Device, location, identity, and transaction data exist in separate systems; analysts must check multiple tools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Unified case investigation view with all context in one screen (BR-12, FR-07)</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No real-time customer notification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Customers find out about fraud hours or days later, increasing complaint volumes and chargeback costs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Automated SMS and push notification within 60 seconds of block (BR-15, FR-10)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IT-dependent rule updates (14-day cycle)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ops cannot respond quickly to new fraud vectors; 2-week lag allows losses to accumulate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Self-service rule configuration for fraud ops with same-day activation (BR-05, FR-03)</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5.  Post-Implementation Reporting Framework</w:t>
      </w:r>
    </w:p>
    <w:p>
      <w:pPr>
        <w:spacing w:before="60" w:after="80"/>
      </w:pPr>
      <w:r>
        <w:rPr>
          <w:rFonts w:ascii="Arial" w:cs="Arial" w:eastAsia="Arial" w:hAnsi="Arial"/>
          <w:color w:val="1A1A1A"/>
          <w:sz w:val="20"/>
          <w:szCs w:val="20"/>
        </w:rPr>
        <w:t xml:space="preserve">This section defines the complete reporting strategy for the RTPFPS once it is live. It specifies every report type, its audience, content, format, frequency, and distribution method.</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5.1  Report Catalogue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1360"/>
        <w:gridCol w:w="1200"/>
        <w:gridCol w:w="1400"/>
        <w:gridCol w:w="800"/>
      </w:tblGrid>
      <w:tr>
        <w:tc>
          <w:tcPr>
            <w:tcW w:type="dxa" w:w="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Ref</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Report Name</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Audience</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Key Content</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Format</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Frequency</w:t>
            </w:r>
          </w:p>
        </w:tc>
        <w:tc>
          <w:tcPr>
            <w:tcW w:type="dxa" w:w="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Daily Fraud Operations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 Senior Analysts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Cases opened/closed, fraud value, FP rate, SLA compliance, analyst throughput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Daily 08:00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Weekly Fraud MI Report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Ops Manager, CRO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7-day KPI trends, detection rate, top fraud types, channel breakdown, open cases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Excel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Monday 09:00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Monthly Executive Fraud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CRO, CFO, ExCo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Monthly fraud losses, ROI vs. Business Case, KPI scorecard, risk heat map, regulatory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Presentation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1st of month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Quarterly Board Pack — Fraud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Board of Directors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Quarterly fraud trends, YoY comparison, strategic risk assessment, compliance status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Presentation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Quarterly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Semi-auto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FCA Monthly Fraud 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Compliance Officer, FCA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volumes by type and channel, loss values, detection rates, SARs filed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Regulatory XML + 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Monthly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PSD2 Quarterly Compliance Report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Compliance Officer, EBA</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SCA usage, exemptions applied, fraud rate vs. PSD2 thresholds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Regulatory format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Quarterly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PCI-DSS Quarterly Security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CISO, Compliance Officer, QSA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Cardholder data access logs, encryption status, incident summary, control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Evidence pack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Quarterly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Semi-auto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Model Performance Report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Data Science Team, IT Lead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Precision, recall, F1 score, false positive rate, champion-challenger comparison, drift metrics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Data export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Monthly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Productivity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Head of Fraud Ops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Cases per analyst, avg. review time, SLA compliance, decision accuracy, escalation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Excel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Monthly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SAR Filing Tracker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Compliance Officer, CCO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SARs generated, reviewed, submitted, pending — with value and fraud type breakdown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Excel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Weekly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Ad-Hoc Investigation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Analysts, Compliance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 query output: specific case data, customer history, rule performance for investigation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On demand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No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RPT-12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Annual Fraud Review Report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Board, CRO, CFO, ExCo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Full year analysis: losses, trends, model performance, ROI realisation, strategic recommendations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PDF Presentation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A1A1A"/>
                <w:sz w:val="18"/>
                <w:szCs w:val="18"/>
              </w:rPr>
              <w:t xml:space="preserve">Annually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No</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5.2  Dashboard Design Specification — Fraud MI Dashboard</w:t>
      </w:r>
    </w:p>
    <w:p>
      <w:pPr>
        <w:spacing w:before="60" w:after="80"/>
      </w:pPr>
      <w:r>
        <w:rPr>
          <w:rFonts w:ascii="Arial" w:cs="Arial" w:eastAsia="Arial" w:hAnsi="Arial"/>
          <w:color w:val="1A1A1A"/>
          <w:sz w:val="20"/>
          <w:szCs w:val="20"/>
        </w:rPr>
        <w:t xml:space="preserve">The Fraud MI Dashboard (RPT-02 / FR-11) is the primary operational tool for the Head of Fraud Operations and senior analysts. The following specification defines the content, layout, and data requirements for each dashboard panel.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60"/>
        <w:gridCol w:w="1600"/>
        <w:gridCol w:w="1300"/>
        <w:gridCol w:w="12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Panel</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Panel Title</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Metrics Displayed</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Chart Type</w:t>
            </w:r>
          </w:p>
        </w:tc>
        <w:tc>
          <w:tcPr>
            <w:tcW w:type="dxa" w:w="13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Data Refresh</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Audience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Live Fraud Score Overview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Transactions scored today, % blocked, % challenged, % passed, avg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Gauge + KPI cards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Real-time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All roles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Loss Value (Today / 7d / 30d)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Confirmed fraud loss value with trend vs. prior period and annual target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Line chart + target line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15 min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Manager+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Detection Rate Trend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Weekly detection rate over rolling 13-week period with target 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Line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Manager+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False Positive Rate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Daily FP rate with 30-day moving average and target threshold indicator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Line + bar combo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Daily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Manager+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by Channel (Today)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volume and fraud incidents split by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Stacked bar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15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All roles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Open Case Queue Summary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Open cases by status (unreviewed, in review, escalated, SLA breach risk)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Status breakdown table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Real-time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All roles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Top Fraud Rules Firing Today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Top 10 rules by match count; flag rules with &gt; 30% FP rate for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Ranked 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15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Manager+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Performance Panel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Cases reviewed, avg time, SLA compliance rate per analyst (anonymised for peers)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Table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Daily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Manager only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P9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Model Accuracy Indicator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Current model precision, recall, and F1 score vs. baseline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Gauge + trend 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E7145"/>
                <w:sz w:val="18"/>
                <w:szCs w:val="18"/>
              </w:rPr>
              <w:t xml:space="preserve">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B2C8D"/>
                <w:sz w:val="18"/>
                <w:szCs w:val="18"/>
              </w:rPr>
              <w:t xml:space="preserve">Data Science / Manager</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6.  Data Quality &amp; Governance Framework</w:t>
      </w:r>
    </w:p>
    <w:p>
      <w:pPr>
        <w:spacing w:before="60" w:after="80"/>
      </w:pPr>
      <w:r>
        <w:rPr>
          <w:rFonts w:ascii="Arial" w:cs="Arial" w:eastAsia="Arial" w:hAnsi="Arial"/>
          <w:color w:val="1A1A1A"/>
          <w:sz w:val="20"/>
          <w:szCs w:val="20"/>
        </w:rPr>
        <w:t xml:space="preserve">The reliability of all fraud KPIs and reporting outputs depends entirely on the quality of the underlying data. This section defines the data quality standards, validation rules, and governance structure that must be in place before and after the RTPFPS goes live.</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6.1  Data Quality Dimensions &amp; Standards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60"/>
        <w:gridCol w:w="1600"/>
        <w:gridCol w:w="1400"/>
      </w:tblGrid>
      <w:tr>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Dimension</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Definition</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Standard / Rule</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Measurement</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All required transaction fields are populated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No null values in mandatory fields: transaction_id, amount, channel, timestamp, customer_id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 of records with all mandatory fields populated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99.9%</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Accuracy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data matches source system records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Cross-validation against Core Banking system for a daily 5% random sample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 of sampled records matching source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99.5%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Timeliness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Data is available within the required time window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data must be available in scoring engine within 50ms of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P95 ingestion latency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50ms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Consistency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Same data values across all system components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score in Case DB must match score stored in Audit Log for every case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 of cases with consistent scores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Uniqueness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No duplicate transaction records in the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Deduplication check within 60-second sliding window (FR-02)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Duplicate detection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0.01%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Validity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Data conforms to defined formats and value ranges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score must be integer 0–100; currency must be ISO 4217; timestamps must be UTC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 of records passing schema validation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99.9%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Referential integrity maintained across all entities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Every case_id in Case DB must have a corresponding transaction_id in Transaction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 of orphaned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0%</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7.  Benefit Realisation Tracking Plan</w:t>
      </w:r>
    </w:p>
    <w:p>
      <w:pPr>
        <w:spacing w:before="60" w:after="80"/>
      </w:pPr>
      <w:r>
        <w:rPr>
          <w:rFonts w:ascii="Arial" w:cs="Arial" w:eastAsia="Arial" w:hAnsi="Arial"/>
          <w:color w:val="1A1A1A"/>
          <w:sz w:val="20"/>
          <w:szCs w:val="20"/>
        </w:rPr>
        <w:t xml:space="preserve">This section defines how the benefits committed to in the Business Case will be measured and evidenced post go-live. It is the responsibility of the Business Analyst to coordinate monthly benefit reviews with each benefit owner and produce a quarterly Benefit Realisation Report for the CRO and CFO.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60"/>
        <w:gridCol w:w="1560"/>
        <w:gridCol w:w="1560"/>
        <w:gridCol w:w="1480"/>
      </w:tblGrid>
      <w:tr>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Benefit Ref</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Benefit Description</w:t>
            </w:r>
          </w:p>
        </w:tc>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Baseline
(2025)</w:t>
            </w:r>
          </w:p>
        </w:tc>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Month 6
Milestone</w:t>
            </w:r>
          </w:p>
        </w:tc>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Year 1
Target</w:t>
            </w:r>
          </w:p>
        </w:tc>
        <w:tc>
          <w:tcPr>
            <w:tcW w:type="dxa" w:w="148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Evidence 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Reduction in direct fraud losses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£3,590,000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£2,500,000 (run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£2,154,000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Finance monthly loss report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Reduction in false positive 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12.4%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2%</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System FP report weekly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Increase in fraud catch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60.5%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&gt; 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&gt; 85%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Monthly detection rate KPI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Reduction in analyst manual workload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30 cases/day/analyst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25 cases/day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21 cases/day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Analyst productivity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Reduction in chargeback processing costs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£320,000/year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£240,000 run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£160,000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Finance chargeback report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complaint reduction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8,130/year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6,500 run 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6,098</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CX complaint tracker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Regulatory fine risk eliminated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£500K+ exposure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Fully compliant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Fully compliant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Compliance audit report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rule update cycle time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14 days (IT ticket)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Same day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1 hour</w:t>
            </w:r>
          </w:p>
        </w:tc>
        <w:tc>
          <w:tcPr>
            <w:tcW w:type="dxa" w:w="14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Rule change audit 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BEN-09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Detection latency improvement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00000"/>
                <w:sz w:val="18"/>
                <w:szCs w:val="18"/>
              </w:rPr>
              <w:t xml:space="preserve">4.4 hours avg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C55A11"/>
                <w:sz w:val="18"/>
                <w:szCs w:val="18"/>
              </w:rPr>
              <w:t xml:space="preserve">&lt; 1 second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&lt; 300ms (P95)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System performance report</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8.  BA Project Portfolio — Complete Deliverables Summary</w:t>
      </w:r>
    </w:p>
    <w:p>
      <w:pPr>
        <w:spacing w:before="60" w:after="80"/>
      </w:pPr>
      <w:r>
        <w:rPr>
          <w:rFonts w:ascii="Arial" w:cs="Arial" w:eastAsia="Arial" w:hAnsi="Arial"/>
          <w:color w:val="1A1A1A"/>
          <w:sz w:val="20"/>
          <w:szCs w:val="20"/>
        </w:rPr>
        <w:t xml:space="preserve">This section provides a complete summary of all six BA deliverables produced throughout this portfolio project. This summary page is designed to be used as an index when presenting the portfolio to recruiters, hiring managers, or interviewers — demonstrating the full breadth of BA skills applied across the RTPFPS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60"/>
        <w:gridCol w:w="1500"/>
        <w:gridCol w:w="1400"/>
        <w:gridCol w:w="12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Document</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Key Contents</w:t>
            </w:r>
          </w:p>
        </w:tc>
        <w:tc>
          <w:tcPr>
            <w:tcW w:type="dxa" w:w="1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 Skills Demonstrated</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Audience</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Project Charter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Scope, objectives, stakeholders, timeline, budget (£1.2M), risk register, sign-off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Scope definition, stakeholder mapping, project governance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Sponsor, ExCo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Business Case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Problem statement (£3.59M exposure), 3 options appraisal, ROI 250%, 17-month payback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Options analysis, financial modelling, benefit articulation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CRO, CFO, Board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BRD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38 business requirements, 12 business rules, 13 NFRs, RTM, stakeholder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Requirements elicitation, prioritisation (MoSCoW), traceability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All stakeholders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FRD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15 FR specs (inputs/logic/outputs/errors), 5-layer architecture, 10 APIs, data entities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Functional decomposition, system thinking, API design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Dev team, QA, 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 Flows &amp; Use Cases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8 use cases, 6 process flows, 3 swim lane narratives, 10-actor catalogue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Use case modelling, process mapping, BPMN-ready flows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Dev, QA, 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Data Analysis &amp; Reporting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Baseline analysis, KPI framework (Tier 1/2/3), trend analysis, 12 reports, DQ framework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Data analysis, KPI design, dashboard specification, insight generation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CRO, Fraud Ops, Compliance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Complete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30"/>
              <w:left w:type="dxa" w:w="220"/>
              <w:bottom w:type="dxa" w:w="130"/>
              <w:right w:type="dxa" w:w="220"/>
            </w:tcMar>
          </w:tcPr>
          <w:p>
            <w:r>
              <w:rPr>
                <w:rFonts w:ascii="Arial" w:cs="Arial" w:eastAsia="Arial" w:hAnsi="Arial"/>
                <w:b/>
                <w:bCs/>
                <w:color w:val="1E7145"/>
                <w:sz w:val="20"/>
                <w:szCs w:val="20"/>
              </w:rPr>
              <w:t xml:space="preserve">Portfolio Note for Recruiters &amp; Hiring Managers:</w:t>
            </w:r>
          </w:p>
          <w:p>
            <w:pPr>
              <w:spacing w:before="50"/>
            </w:pPr>
            <w:r>
              <w:rPr>
                <w:rFonts w:ascii="Arial" w:cs="Arial" w:eastAsia="Arial" w:hAnsi="Arial"/>
                <w:color w:val="1A1A1A"/>
                <w:sz w:val="19"/>
                <w:szCs w:val="19"/>
              </w:rPr>
              <w:t xml:space="preserve">This end-to-end BA project portfolio demonstrates practical application of the full business analysis lifecycle — from project initiation and business justification through requirements management, functional specification, process design, data analysis, and management reporting. All documents are original, professionally formatted, and directly relevant to BA roles in financial services, fintech, risk, and regulated industries.</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9.  Approval &amp; Sign-Off</w:t>
      </w:r>
    </w:p>
    <w:p>
      <w:pPr>
        <w:spacing w:before="60" w:after="80"/>
      </w:pPr>
      <w:r>
        <w:rPr>
          <w:rFonts w:ascii="Arial" w:cs="Arial" w:eastAsia="Arial" w:hAnsi="Arial"/>
          <w:color w:val="1A1A1A"/>
          <w:sz w:val="20"/>
          <w:szCs w:val="20"/>
        </w:rPr>
        <w:t xml:space="preserve">By signing below, the named stakeholders confirm that this Data Analysis &amp; Reporting document, and the complete RTPFPS BA Project Portfolio, has been reviewed and approved as the baseline for post-implementation reporting.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Title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Signature</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Chief Risk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Head of Fraud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Business Analyst (Author)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March 06, 2026</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Changes</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06 March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Final document — Baseline analysis, 3-tier KPI framework, trend analysis, 12 reports, DQ framework, benefit tracker, portfolio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r>
    </w:tbl>
    <w:p>
      <w:pPr>
        <w:spacing w:before="60" w:after="60"/>
      </w:pPr>
      <w:r>
        <w:t xml:space="preserve"/>
      </w:r>
    </w:p>
    <w:p>
      <w:pPr>
        <w:spacing w:before="300" w:after="60"/>
        <w:jc w:val="center"/>
      </w:pPr>
      <w:r>
        <w:rPr>
          <w:rFonts w:ascii="Arial" w:cs="Arial" w:eastAsia="Arial" w:hAnsi="Arial"/>
          <w:i/>
          <w:iCs/>
          <w:color w:val="AAAAAA"/>
          <w:sz w:val="18"/>
          <w:szCs w:val="18"/>
        </w:rPr>
        <w:t xml:space="preserve">— End of Document —</w:t>
      </w:r>
    </w:p>
    <w:p>
      <w:pPr>
        <w:spacing w:before="40" w:after="100"/>
        <w:jc w:val="center"/>
      </w:pPr>
      <w:r>
        <w:rPr>
          <w:rFonts w:ascii="Arial" w:cs="Arial" w:eastAsia="Arial" w:hAnsi="Arial"/>
          <w:b/>
          <w:bCs/>
          <w:color w:val="2E75B6"/>
          <w:sz w:val="20"/>
          <w:szCs w:val="20"/>
        </w:rPr>
        <w:t xml:space="preserve">RTPFPS BA Project Portfolio — All 6 Documents Complete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BA Portfolio Project  |  Version 1.0  |  March 2026</w:t>
    </w:r>
    <w:r>
      <w:rPr>
        <w:rFonts w:ascii="Arial" w:cs="Arial" w:eastAsia="Arial" w:hAnsi="Arial"/>
        <w:color w:val="888888"/>
        <w:sz w:val="17"/>
        <w:szCs w:val="17"/>
      </w:rPr>
      <w:t xml:space="preserve">	Document 6 of 6  |  Final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8"/>
        <w:szCs w:val="18"/>
      </w:rPr>
      <w:t xml:space="preserve">Real-Time Payment Fraud Prevention System  |  Data Analysis &amp; Reporting</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2026-03-27T07:13:05.498Z</dcterms:created>
  <dcterms:modified xsi:type="dcterms:W3CDTF">2026-03-27T07:13:05.500Z</dcterms:modified>
</cp:coreProperties>
</file>

<file path=docProps/custom.xml><?xml version="1.0" encoding="utf-8"?>
<Properties xmlns="http://schemas.openxmlformats.org/officeDocument/2006/custom-properties" xmlns:vt="http://schemas.openxmlformats.org/officeDocument/2006/docPropsVTypes"/>
</file>