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40"/>
              <w:left w:type="dxa" w:w="480"/>
              <w:bottom w:type="dxa" w:w="440"/>
              <w:right w:type="dxa" w:w="480"/>
            </w:tcMar>
          </w:tcPr>
          <w:p>
            <w:pPr>
              <w:spacing w:before="80" w:after="40"/>
              <w:jc w:val="center"/>
            </w:pPr>
            <w:r>
              <w:rPr>
                <w:rFonts w:ascii="Arial" w:cs="Arial" w:eastAsia="Arial" w:hAnsi="Arial"/>
                <w:b/>
                <w:bCs/>
                <w:color w:val="FFFFFF"/>
                <w:sz w:val="44"/>
                <w:szCs w:val="44"/>
              </w:rPr>
              <w:t xml:space="preserve">PROJECT CHARTER</w:t>
            </w:r>
          </w:p>
          <w:p>
            <w:pPr>
              <w:spacing w:before="60" w:after="60"/>
              <w:jc w:val="center"/>
            </w:pPr>
            <w:r>
              <w:rPr>
                <w:rFonts w:ascii="Arial" w:cs="Arial" w:eastAsia="Arial" w:hAnsi="Arial"/>
                <w:color w:val="A8C8E8"/>
                <w:sz w:val="30"/>
                <w:szCs w:val="30"/>
              </w:rPr>
              <w:t xml:space="preserve">Real-Time Payment Fraud Prevention System</w:t>
            </w:r>
          </w:p>
          <w:p>
            <w:pPr>
              <w:spacing w:before="60" w:after="80"/>
              <w:jc w:val="center"/>
            </w:pPr>
            <w:r>
              <w:rPr>
                <w:rFonts w:ascii="Arial" w:cs="Arial" w:eastAsia="Arial" w:hAnsi="Arial"/>
                <w:color w:val="7AAFCF"/>
                <w:sz w:val="20"/>
                <w:szCs w:val="20"/>
              </w:rPr>
              <w:t xml:space="preserve">BA Portfolio Project  |  Version 1.0  |  March 2026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Prepared By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 Portfolio Author</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March 06, 2026</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Document Version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v1.0 – Initial Draft</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2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Approved</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 Sponsor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Chief Risk Officer (CRO)</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Industry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Financial Services / FinTech</w:t>
            </w:r>
          </w:p>
        </w:tc>
      </w:tr>
    </w:tbl>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1.  Executive Summary</w:t>
      </w:r>
    </w:p>
    <w:p>
      <w:pPr>
        <w:spacing w:before="60" w:after="80"/>
      </w:pPr>
      <w:r>
        <w:rPr>
          <w:rFonts w:ascii="Arial" w:cs="Arial" w:eastAsia="Arial" w:hAnsi="Arial"/>
          <w:b w:val="false"/>
          <w:bCs w:val="false"/>
          <w:color w:val="1A1A1A"/>
          <w:sz w:val="20"/>
          <w:szCs w:val="20"/>
        </w:rPr>
        <w:t xml:space="preserve">This Project Charter formally authorises the Real-Time Payment Fraud Prevention System (RTPFPS) initiative. The project will design, develop, and deploy an intelligent, rules-based and ML-augmented fraud detection platform that monitors payment transactions in real time, flags suspicious activity, and minimises financial loss while preserving a seamless customer experience.</w:t>
      </w:r>
    </w:p>
    <w:p>
      <w:pPr>
        <w:spacing w:before="60" w:after="80"/>
      </w:pPr>
      <w:r>
        <w:rPr>
          <w:rFonts w:ascii="Arial" w:cs="Arial" w:eastAsia="Arial" w:hAnsi="Arial"/>
          <w:b w:val="false"/>
          <w:bCs w:val="false"/>
          <w:color w:val="1A1A1A"/>
          <w:sz w:val="20"/>
          <w:szCs w:val="20"/>
        </w:rPr>
        <w:t xml:space="preserve">Fraudulent transactions represent a significant and growing threat to financial institutions globally. According to industry benchmarks, payment fraud results in billions of dollars in annual losses and severely damages customer trust. This initiative directly addresses that risk by implementing a proactive, automated, and scalable detection system.</w:t>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2.  Problem Statement</w:t>
      </w:r>
    </w:p>
    <w:p>
      <w:pPr>
        <w:spacing w:before="60" w:after="80"/>
      </w:pPr>
      <w:r>
        <w:rPr>
          <w:rFonts w:ascii="Arial" w:cs="Arial" w:eastAsia="Arial" w:hAnsi="Arial"/>
          <w:b w:val="false"/>
          <w:bCs w:val="false"/>
          <w:color w:val="1A1A1A"/>
          <w:sz w:val="20"/>
          <w:szCs w:val="20"/>
        </w:rPr>
        <w:t xml:space="preserve">The organisation currently faces the following critical challenges: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80"/>
        <w:gridCol w:w="578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1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Challenge</w:t>
            </w:r>
          </w:p>
        </w:tc>
        <w:tc>
          <w:tcPr>
            <w:tcW w:type="dxa" w:w="57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Manual fraud review processes</w:t>
            </w:r>
          </w:p>
        </w:tc>
        <w:tc>
          <w:tcPr>
            <w:tcW w:type="dxa" w:w="5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Slow response times — fraud is often detected hours after the transaction is complete, leading to unrecoverable losses.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High false-positive rates</w:t>
            </w:r>
          </w:p>
        </w:tc>
        <w:tc>
          <w:tcPr>
            <w:tcW w:type="dxa" w:w="5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Legitimate transactions are blocked unnecessarily, frustrating customers and increasing call-centre volume.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Siloed data systems</w:t>
            </w:r>
          </w:p>
        </w:tc>
        <w:tc>
          <w:tcPr>
            <w:tcW w:type="dxa" w:w="5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Transaction data, customer profiles, and device intelligence exist in separate systems, hindering a holistic fraud view.</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4</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Evolving fraud patterns</w:t>
            </w:r>
          </w:p>
        </w:tc>
        <w:tc>
          <w:tcPr>
            <w:tcW w:type="dxa" w:w="5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Rule-based systems cannot adapt quickly to new fraud vectors such as account takeover, synthetic identity, and authorised push payment (APP) fraud.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Regulatory compliance gaps</w:t>
            </w:r>
          </w:p>
        </w:tc>
        <w:tc>
          <w:tcPr>
            <w:tcW w:type="dxa" w:w="5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organisation risks non-compliance with PSD2, PCI-DSS, and AML regulations due to lack of real-time monitoring and audit trails.</w:t>
            </w:r>
          </w:p>
        </w:tc>
      </w:tr>
    </w:tbl>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3.  Project Objectives</w:t>
      </w:r>
    </w:p>
    <w:p>
      <w:pPr>
        <w:spacing w:before="60" w:after="80"/>
      </w:pPr>
      <w:r>
        <w:rPr>
          <w:rFonts w:ascii="Arial" w:cs="Arial" w:eastAsia="Arial" w:hAnsi="Arial"/>
          <w:b w:val="false"/>
          <w:bCs w:val="false"/>
          <w:color w:val="1A1A1A"/>
          <w:sz w:val="20"/>
          <w:szCs w:val="20"/>
        </w:rPr>
        <w:t xml:space="preserve">The RTPFPS project will achieve the following SMART objectives upon delivery: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Objective</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Metric / KPI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Detect fraudulent transactions in real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&lt; 300ms average detection latency per transaction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Reduce fraud-related financial losses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Achieve ≥ 40% reduction in fraud losses within 12 months of go-live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Reduce false-positive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False positives reduced to &lt; 2% of flagged transactions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Improve case management efficiency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Fraud analyst workload reduced by 30% through automated triage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Ensure regulatory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100% audit trail coverage for all flagged transactions (PCI-DSS, PSD2)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Enhance customer trust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Customer fraud-related complaints reduced by 25% within 6 months</w:t>
            </w:r>
          </w:p>
        </w:tc>
      </w:tr>
    </w:tbl>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4.  Project Scope</w:t>
      </w:r>
    </w:p>
    <w:p>
      <w:pPr>
        <w:pStyle w:val="Heading2"/>
        <w:spacing w:before="240" w:after="100"/>
      </w:pPr>
      <w:r>
        <w:rPr>
          <w:rFonts w:ascii="Arial" w:cs="Arial" w:eastAsia="Arial" w:hAnsi="Arial"/>
          <w:b/>
          <w:bCs/>
          <w:color w:val="2E75B6"/>
          <w:sz w:val="22"/>
          <w:szCs w:val="22"/>
        </w:rPr>
        <w:t xml:space="preserve">4.1  In Scope</w:t>
      </w:r>
    </w:p>
    <w:p>
      <w:pPr>
        <w:pStyle w:val="ListParagraph"/>
        <w:numPr>
          <w:ilvl w:val="0"/>
          <w:numId w:val="2"/>
        </w:numPr>
        <w:spacing w:before="60" w:after="60"/>
      </w:pPr>
      <w:r>
        <w:rPr>
          <w:rFonts w:ascii="Arial" w:cs="Arial" w:eastAsia="Arial" w:hAnsi="Arial"/>
          <w:color w:val="1A1A1A"/>
          <w:sz w:val="20"/>
          <w:szCs w:val="20"/>
        </w:rPr>
        <w:t xml:space="preserve">Real-time transaction monitoring across all digital payment channels (mobile, web, API, POS)</w:t>
      </w:r>
    </w:p>
    <w:p>
      <w:pPr>
        <w:pStyle w:val="ListParagraph"/>
        <w:numPr>
          <w:ilvl w:val="0"/>
          <w:numId w:val="2"/>
        </w:numPr>
        <w:spacing w:before="60" w:after="60"/>
      </w:pPr>
      <w:r>
        <w:rPr>
          <w:rFonts w:ascii="Arial" w:cs="Arial" w:eastAsia="Arial" w:hAnsi="Arial"/>
          <w:color w:val="1A1A1A"/>
          <w:sz w:val="20"/>
          <w:szCs w:val="20"/>
        </w:rPr>
        <w:t xml:space="preserve">Rule-based fraud detection engine with configurable thresholds</w:t>
      </w:r>
    </w:p>
    <w:p>
      <w:pPr>
        <w:pStyle w:val="ListParagraph"/>
        <w:numPr>
          <w:ilvl w:val="0"/>
          <w:numId w:val="2"/>
        </w:numPr>
        <w:spacing w:before="60" w:after="60"/>
      </w:pPr>
      <w:r>
        <w:rPr>
          <w:rFonts w:ascii="Arial" w:cs="Arial" w:eastAsia="Arial" w:hAnsi="Arial"/>
          <w:color w:val="1A1A1A"/>
          <w:sz w:val="20"/>
          <w:szCs w:val="20"/>
        </w:rPr>
        <w:t xml:space="preserve">Machine learning model integration for anomaly detection and behavioural analytics</w:t>
      </w:r>
    </w:p>
    <w:p>
      <w:pPr>
        <w:pStyle w:val="ListParagraph"/>
        <w:numPr>
          <w:ilvl w:val="0"/>
          <w:numId w:val="2"/>
        </w:numPr>
        <w:spacing w:before="60" w:after="60"/>
      </w:pPr>
      <w:r>
        <w:rPr>
          <w:rFonts w:ascii="Arial" w:cs="Arial" w:eastAsia="Arial" w:hAnsi="Arial"/>
          <w:color w:val="1A1A1A"/>
          <w:sz w:val="20"/>
          <w:szCs w:val="20"/>
        </w:rPr>
        <w:t xml:space="preserve">Case management dashboard for fraud analysts</w:t>
      </w:r>
    </w:p>
    <w:p>
      <w:pPr>
        <w:pStyle w:val="ListParagraph"/>
        <w:numPr>
          <w:ilvl w:val="0"/>
          <w:numId w:val="2"/>
        </w:numPr>
        <w:spacing w:before="60" w:after="60"/>
      </w:pPr>
      <w:r>
        <w:rPr>
          <w:rFonts w:ascii="Arial" w:cs="Arial" w:eastAsia="Arial" w:hAnsi="Arial"/>
          <w:color w:val="1A1A1A"/>
          <w:sz w:val="20"/>
          <w:szCs w:val="20"/>
        </w:rPr>
        <w:t xml:space="preserve">Automated alert and notification system (email, SMS, in-app)</w:t>
      </w:r>
    </w:p>
    <w:p>
      <w:pPr>
        <w:pStyle w:val="ListParagraph"/>
        <w:numPr>
          <w:ilvl w:val="0"/>
          <w:numId w:val="2"/>
        </w:numPr>
        <w:spacing w:before="60" w:after="60"/>
      </w:pPr>
      <w:r>
        <w:rPr>
          <w:rFonts w:ascii="Arial" w:cs="Arial" w:eastAsia="Arial" w:hAnsi="Arial"/>
          <w:color w:val="1A1A1A"/>
          <w:sz w:val="20"/>
          <w:szCs w:val="20"/>
        </w:rPr>
        <w:t xml:space="preserve">Integration with core banking system, card management platform, and customer identity system</w:t>
      </w:r>
    </w:p>
    <w:p>
      <w:pPr>
        <w:pStyle w:val="ListParagraph"/>
        <w:numPr>
          <w:ilvl w:val="0"/>
          <w:numId w:val="2"/>
        </w:numPr>
        <w:spacing w:before="60" w:after="60"/>
      </w:pPr>
      <w:r>
        <w:rPr>
          <w:rFonts w:ascii="Arial" w:cs="Arial" w:eastAsia="Arial" w:hAnsi="Arial"/>
          <w:color w:val="1A1A1A"/>
          <w:sz w:val="20"/>
          <w:szCs w:val="20"/>
        </w:rPr>
        <w:t xml:space="preserve">Audit logging and compliance reporting module</w:t>
      </w:r>
    </w:p>
    <w:p>
      <w:pPr>
        <w:pStyle w:val="ListParagraph"/>
        <w:numPr>
          <w:ilvl w:val="0"/>
          <w:numId w:val="2"/>
        </w:numPr>
        <w:spacing w:before="60" w:after="60"/>
      </w:pPr>
      <w:r>
        <w:rPr>
          <w:rFonts w:ascii="Arial" w:cs="Arial" w:eastAsia="Arial" w:hAnsi="Arial"/>
          <w:color w:val="1A1A1A"/>
          <w:sz w:val="20"/>
          <w:szCs w:val="20"/>
        </w:rPr>
        <w:t xml:space="preserve">User acceptance testing (UAT) and training for fraud operations team</w:t>
      </w:r>
    </w:p>
    <w:p>
      <w:pPr>
        <w:spacing w:before="80" w:after="80"/>
      </w:pPr>
      <w:r>
        <w:t xml:space="preserve"/>
      </w:r>
    </w:p>
    <w:p>
      <w:pPr>
        <w:pStyle w:val="Heading2"/>
        <w:spacing w:before="240" w:after="100"/>
      </w:pPr>
      <w:r>
        <w:rPr>
          <w:rFonts w:ascii="Arial" w:cs="Arial" w:eastAsia="Arial" w:hAnsi="Arial"/>
          <w:b/>
          <w:bCs/>
          <w:color w:val="2E75B6"/>
          <w:sz w:val="22"/>
          <w:szCs w:val="22"/>
        </w:rPr>
        <w:t xml:space="preserve">4.2  Out of Scope</w:t>
      </w:r>
    </w:p>
    <w:p>
      <w:pPr>
        <w:pStyle w:val="ListParagraph"/>
        <w:numPr>
          <w:ilvl w:val="0"/>
          <w:numId w:val="2"/>
        </w:numPr>
        <w:spacing w:before="60" w:after="60"/>
      </w:pPr>
      <w:r>
        <w:rPr>
          <w:rFonts w:ascii="Arial" w:cs="Arial" w:eastAsia="Arial" w:hAnsi="Arial"/>
          <w:color w:val="777777"/>
          <w:sz w:val="20"/>
          <w:szCs w:val="20"/>
        </w:rPr>
        <w:t xml:space="preserve">Chargeback processing and dispute management workflows</w:t>
      </w:r>
    </w:p>
    <w:p>
      <w:pPr>
        <w:pStyle w:val="ListParagraph"/>
        <w:numPr>
          <w:ilvl w:val="0"/>
          <w:numId w:val="2"/>
        </w:numPr>
        <w:spacing w:before="60" w:after="60"/>
      </w:pPr>
      <w:r>
        <w:rPr>
          <w:rFonts w:ascii="Arial" w:cs="Arial" w:eastAsia="Arial" w:hAnsi="Arial"/>
          <w:color w:val="777777"/>
          <w:sz w:val="20"/>
          <w:szCs w:val="20"/>
        </w:rPr>
        <w:t xml:space="preserve">Full replacement of the core banking system</w:t>
      </w:r>
    </w:p>
    <w:p>
      <w:pPr>
        <w:pStyle w:val="ListParagraph"/>
        <w:numPr>
          <w:ilvl w:val="0"/>
          <w:numId w:val="2"/>
        </w:numPr>
        <w:spacing w:before="60" w:after="60"/>
      </w:pPr>
      <w:r>
        <w:rPr>
          <w:rFonts w:ascii="Arial" w:cs="Arial" w:eastAsia="Arial" w:hAnsi="Arial"/>
          <w:color w:val="777777"/>
          <w:sz w:val="20"/>
          <w:szCs w:val="20"/>
        </w:rPr>
        <w:t xml:space="preserve">Fraud detection for non-payment products (e.g., loan applications, insurance claims)</w:t>
      </w:r>
    </w:p>
    <w:p>
      <w:pPr>
        <w:pStyle w:val="ListParagraph"/>
        <w:numPr>
          <w:ilvl w:val="0"/>
          <w:numId w:val="2"/>
        </w:numPr>
        <w:spacing w:before="60" w:after="60"/>
      </w:pPr>
      <w:r>
        <w:rPr>
          <w:rFonts w:ascii="Arial" w:cs="Arial" w:eastAsia="Arial" w:hAnsi="Arial"/>
          <w:color w:val="777777"/>
          <w:sz w:val="20"/>
          <w:szCs w:val="20"/>
        </w:rPr>
        <w:t xml:space="preserve">Customer-facing fraud self-reporting portal (Phase 2)</w:t>
      </w:r>
    </w:p>
    <w:p>
      <w:pPr>
        <w:pStyle w:val="ListParagraph"/>
        <w:numPr>
          <w:ilvl w:val="0"/>
          <w:numId w:val="2"/>
        </w:numPr>
        <w:spacing w:before="60" w:after="60"/>
      </w:pPr>
      <w:r>
        <w:rPr>
          <w:rFonts w:ascii="Arial" w:cs="Arial" w:eastAsia="Arial" w:hAnsi="Arial"/>
          <w:color w:val="777777"/>
          <w:sz w:val="20"/>
          <w:szCs w:val="20"/>
        </w:rPr>
        <w:t xml:space="preserve">International regulatory compliance outside of the UK/EU jurisdiction</w:t>
      </w:r>
    </w:p>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5.  Key Stakeholders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Stakeholder</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 / Title</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Interest / Responsibility</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Engagement 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Chief Risk Officer (CRO)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Project Sponsor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Overall accountability; budget 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High – Decision Maker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Head of Fraud Operations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Business Owner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Define fraud rules; UAT sign-off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High – Key User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IT / Engineering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Technical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System architecture; integration delivery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High – Delivery Owner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Compliance &amp; Legal Team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Compliance Advisor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Regulatory requirements; audit readiness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Medium – Consulted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Customer Experience (CX)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Business Stakeholder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Ensure minimal customer disruption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Medium – Informed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Fraud Analysts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End Users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Daily use of case management dashboard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High – Primary Users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Data Science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Technical SME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 and maintain ML fraud models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High – Delivery Partner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External Payment Networks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Third Party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 integration (Visa, Mastercard, SWIFT)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888888"/>
                <w:sz w:val="19"/>
                <w:szCs w:val="19"/>
              </w:rPr>
              <w:t xml:space="preserve">Low – Informed</w:t>
            </w:r>
          </w:p>
        </w:tc>
      </w:tr>
    </w:tbl>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6.  Assumptions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Assumptions</w:t>
            </w:r>
          </w:p>
        </w:tc>
        <w:tc>
          <w:tcPr>
            <w:tcW w:type="dxa" w:w="4680"/>
            <w:tcBorders>
              <w:top w:val="single" w:color="CCCCCC" w:sz="1"/>
              <w:left w:val="single" w:color="CCCCCC" w:sz="1"/>
              <w:bottom w:val="single" w:color="CCCCCC" w:sz="1"/>
              <w:right w:val="single" w:color="CCCCCC" w:sz="1"/>
            </w:tcBorders>
            <w:shd w:fill="8B1A1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spacing w:before="50" w:after="50"/>
            </w:pPr>
            <w:r>
              <w:rPr>
                <w:rFonts w:ascii="Arial" w:cs="Arial" w:eastAsia="Arial" w:hAnsi="Arial"/>
                <w:color w:val="1A1A1A"/>
                <w:sz w:val="19"/>
                <w:szCs w:val="19"/>
              </w:rPr>
              <w:t xml:space="preserve">Existing transaction data is accessible via API</w:t>
            </w:r>
          </w:p>
          <w:p>
            <w:pPr>
              <w:pStyle w:val="ListParagraph"/>
              <w:numPr>
                <w:ilvl w:val="0"/>
                <w:numId w:val="2"/>
              </w:numPr>
              <w:spacing w:before="50" w:after="50"/>
            </w:pPr>
            <w:r>
              <w:rPr>
                <w:rFonts w:ascii="Arial" w:cs="Arial" w:eastAsia="Arial" w:hAnsi="Arial"/>
                <w:color w:val="1A1A1A"/>
                <w:sz w:val="19"/>
                <w:szCs w:val="19"/>
              </w:rPr>
              <w:t xml:space="preserve">IT infrastructure can support sub-300ms processing</w:t>
            </w:r>
          </w:p>
          <w:p>
            <w:pPr>
              <w:pStyle w:val="ListParagraph"/>
              <w:numPr>
                <w:ilvl w:val="0"/>
                <w:numId w:val="2"/>
              </w:numPr>
              <w:spacing w:before="50" w:after="50"/>
            </w:pPr>
            <w:r>
              <w:rPr>
                <w:rFonts w:ascii="Arial" w:cs="Arial" w:eastAsia="Arial" w:hAnsi="Arial"/>
                <w:color w:val="1A1A1A"/>
                <w:sz w:val="19"/>
                <w:szCs w:val="19"/>
              </w:rPr>
              <w:t xml:space="preserve">Fraud operations team available for UAT</w:t>
            </w:r>
          </w:p>
          <w:p>
            <w:pPr>
              <w:pStyle w:val="ListParagraph"/>
              <w:numPr>
                <w:ilvl w:val="0"/>
                <w:numId w:val="2"/>
              </w:numPr>
              <w:spacing w:before="50" w:after="50"/>
            </w:pPr>
            <w:r>
              <w:rPr>
                <w:rFonts w:ascii="Arial" w:cs="Arial" w:eastAsia="Arial" w:hAnsi="Arial"/>
                <w:color w:val="1A1A1A"/>
                <w:sz w:val="19"/>
                <w:szCs w:val="19"/>
              </w:rPr>
              <w:t xml:space="preserve">Executive sponsorship remains throughout delivery</w:t>
            </w:r>
          </w:p>
          <w:p>
            <w:pPr>
              <w:pStyle w:val="ListParagraph"/>
              <w:numPr>
                <w:ilvl w:val="0"/>
                <w:numId w:val="2"/>
              </w:numPr>
              <w:spacing w:before="50" w:after="50"/>
            </w:pPr>
            <w:r>
              <w:rPr>
                <w:rFonts w:ascii="Arial" w:cs="Arial" w:eastAsia="Arial" w:hAnsi="Arial"/>
                <w:color w:val="1A1A1A"/>
                <w:sz w:val="19"/>
                <w:szCs w:val="19"/>
              </w:rPr>
              <w:t xml:space="preserve">Historical transaction data (min. 24 months) is available for ML model training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spacing w:before="50" w:after="50"/>
            </w:pPr>
            <w:r>
              <w:rPr>
                <w:rFonts w:ascii="Arial" w:cs="Arial" w:eastAsia="Arial" w:hAnsi="Arial"/>
                <w:color w:val="1A1A1A"/>
                <w:sz w:val="19"/>
                <w:szCs w:val="19"/>
              </w:rPr>
              <w:t xml:space="preserve">Project budget capped at £1.2M for Phase 1</w:t>
            </w:r>
          </w:p>
          <w:p>
            <w:pPr>
              <w:pStyle w:val="ListParagraph"/>
              <w:numPr>
                <w:ilvl w:val="0"/>
                <w:numId w:val="2"/>
              </w:numPr>
              <w:spacing w:before="50" w:after="50"/>
            </w:pPr>
            <w:r>
              <w:rPr>
                <w:rFonts w:ascii="Arial" w:cs="Arial" w:eastAsia="Arial" w:hAnsi="Arial"/>
                <w:color w:val="1A1A1A"/>
                <w:sz w:val="19"/>
                <w:szCs w:val="19"/>
              </w:rPr>
              <w:t xml:space="preserve">Go-live deadline: Q4 2026 (regulatory driver)</w:t>
            </w:r>
          </w:p>
          <w:p>
            <w:pPr>
              <w:pStyle w:val="ListParagraph"/>
              <w:numPr>
                <w:ilvl w:val="0"/>
                <w:numId w:val="2"/>
              </w:numPr>
              <w:spacing w:before="50" w:after="50"/>
            </w:pPr>
            <w:r>
              <w:rPr>
                <w:rFonts w:ascii="Arial" w:cs="Arial" w:eastAsia="Arial" w:hAnsi="Arial"/>
                <w:color w:val="1A1A1A"/>
                <w:sz w:val="19"/>
                <w:szCs w:val="19"/>
              </w:rPr>
              <w:t xml:space="preserve">System must comply with GDPR, PCI-DSS v4.0, and PSD2</w:t>
            </w:r>
          </w:p>
          <w:p>
            <w:pPr>
              <w:pStyle w:val="ListParagraph"/>
              <w:numPr>
                <w:ilvl w:val="0"/>
                <w:numId w:val="2"/>
              </w:numPr>
              <w:spacing w:before="50" w:after="50"/>
            </w:pPr>
            <w:r>
              <w:rPr>
                <w:rFonts w:ascii="Arial" w:cs="Arial" w:eastAsia="Arial" w:hAnsi="Arial"/>
                <w:color w:val="1A1A1A"/>
                <w:sz w:val="19"/>
                <w:szCs w:val="19"/>
              </w:rPr>
              <w:t xml:space="preserve">No downtime permitted on the core banking system during integration</w:t>
            </w:r>
          </w:p>
          <w:p>
            <w:pPr>
              <w:pStyle w:val="ListParagraph"/>
              <w:numPr>
                <w:ilvl w:val="0"/>
                <w:numId w:val="2"/>
              </w:numPr>
              <w:spacing w:before="50" w:after="50"/>
            </w:pPr>
            <w:r>
              <w:rPr>
                <w:rFonts w:ascii="Arial" w:cs="Arial" w:eastAsia="Arial" w:hAnsi="Arial"/>
                <w:color w:val="1A1A1A"/>
                <w:sz w:val="19"/>
                <w:szCs w:val="19"/>
              </w:rPr>
              <w:t xml:space="preserve">Headcount additions limited to 2 FTEs during project phase</w:t>
            </w:r>
          </w:p>
        </w:tc>
      </w:tr>
    </w:tbl>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7.  High-Level Project Timeline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Deliverables</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Phase 1
Initiation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Mar – Apr 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Project Charter, Stakeholder Register, Business Case, Kick-off Meeting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Charter Sign-off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Phase 2
Requirements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May – Jun 2026</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BRD, FRD, Use Cases, Process Flow Diagrams, Requirements Sign-off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Requirements Baselined</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Phase 3
Design &amp; 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Jul – Sep 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System Architecture, Data Models, Fraud Rules Engine, ML Model v1, Integration Build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Design Approved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Phase 4
Testing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Oct 2026</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UAT Plan, Test Scripts, UAT Execution, Defect Resolution, Performance 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UAT Sign-off</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3A6B"/>
                <w:sz w:val="19"/>
                <w:szCs w:val="19"/>
              </w:rPr>
              <w:t xml:space="preserve">Phase 5
Go-Live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Nov – Dec 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Training, Go-Live, Hypercare Support, Post-Implementation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System Live</w:t>
            </w:r>
          </w:p>
        </w:tc>
      </w:tr>
    </w:tbl>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8.  High-Level Budget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c>
          <w:tcPr>
            <w:tcW w:type="dxa" w:w="4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 Category</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Estimated Cost</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Business Analysis &amp; Project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9"/>
                <w:szCs w:val="19"/>
              </w:rPr>
              <w:t xml:space="preserve">£120,000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Internal resources + contractor support</w:t>
            </w:r>
          </w:p>
        </w:tc>
      </w:tr>
      <w:tr>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System Development &amp; Engineering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A1A1A"/>
                <w:sz w:val="19"/>
                <w:szCs w:val="19"/>
              </w:rPr>
              <w:t xml:space="preserve">£480,000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Development team across 3 sprints</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 Science / ML Model Development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9"/>
                <w:szCs w:val="19"/>
              </w:rPr>
              <w:t xml:space="preserve">£180,000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Model build, training, and validation</w:t>
            </w:r>
          </w:p>
        </w:tc>
      </w:tr>
      <w:tr>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Infrastructure &amp; Cloud Hosting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A1A1A"/>
                <w:sz w:val="19"/>
                <w:szCs w:val="19"/>
              </w:rPr>
              <w:t xml:space="preserve">£150,000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AWS / Azure cloud environment</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Testing &amp; Quality Assurance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9"/>
                <w:szCs w:val="19"/>
              </w:rPr>
              <w:t xml:space="preserve">£100,000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UAT, performance, and security testing</w:t>
            </w:r>
          </w:p>
        </w:tc>
      </w:tr>
      <w:tr>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Training &amp; Change Management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A1A1A"/>
                <w:sz w:val="19"/>
                <w:szCs w:val="19"/>
              </w:rPr>
              <w:t xml:space="preserve">£60,000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Fraud team training &amp; documentation</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Contingency Reserve (10%)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£109,000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Risk buffer</w:t>
            </w:r>
          </w:p>
        </w:tc>
      </w:tr>
      <w:tr>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TOTAL PROJECT BUDGET</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£1,199,000</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val="false"/>
                <w:bCs w:val="false"/>
                <w:color w:val="AACCEE"/>
                <w:sz w:val="19"/>
                <w:szCs w:val="19"/>
              </w:rPr>
              <w:t xml:space="preserve">Within approved cap of £1.2M</w:t>
            </w:r>
          </w:p>
        </w:tc>
      </w:tr>
    </w:tbl>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9.  High-Level Risk Register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60"/>
        <w:gridCol w:w="1160"/>
        <w:gridCol w:w="384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Description</w:t>
            </w:r>
          </w:p>
        </w:tc>
        <w:tc>
          <w:tcPr>
            <w:tcW w:type="dxa" w:w="1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Probability</w:t>
            </w:r>
          </w:p>
        </w:tc>
        <w:tc>
          <w:tcPr>
            <w:tcW w:type="dxa" w:w="1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38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 quality issues in legacy transaction systems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D7D31"/>
                <w:sz w:val="19"/>
                <w:szCs w:val="19"/>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High</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Conduct early data audit; establish data cleansing protocols in Phase 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Integration delays with core banking system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High</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Engage IT lead early; agree integration API spec in Phase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ML model performance below acceptable threshold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D7D31"/>
                <w:sz w:val="19"/>
                <w:szCs w:val="19"/>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High</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Use champion-challenger model testing; fallback to rules engine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Key stakeholder unavailability during UAT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D7D31"/>
                <w:sz w:val="19"/>
                <w:szCs w:val="19"/>
              </w:rPr>
              <w:t xml:space="preserve">Medium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D7D31"/>
                <w:sz w:val="19"/>
                <w:szCs w:val="19"/>
              </w:rPr>
              <w:t xml:space="preserve">Medium</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Agree UAT resource commitment in project charter sign-off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Regulatory requirement changes mid-project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Low</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High</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Monitor regulatory publications; monthly compliance review checkpoint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Budget overrun due to scope creep</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D7D31"/>
                <w:sz w:val="19"/>
                <w:szCs w:val="19"/>
              </w:rPr>
              <w:t xml:space="preserve">Medium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D7D31"/>
                <w:sz w:val="19"/>
                <w:szCs w:val="19"/>
              </w:rPr>
              <w:t xml:space="preserve">Medium</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Formal change control process; BA-governed requirements freeze</w:t>
            </w:r>
          </w:p>
        </w:tc>
      </w:tr>
    </w:tbl>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10.  Project Authorisation &amp; Sign-Off</w:t>
      </w:r>
    </w:p>
    <w:p>
      <w:pPr>
        <w:spacing w:before="60" w:after="80"/>
      </w:pPr>
      <w:r>
        <w:rPr>
          <w:rFonts w:ascii="Arial" w:cs="Arial" w:eastAsia="Arial" w:hAnsi="Arial"/>
          <w:b w:val="false"/>
          <w:bCs w:val="false"/>
          <w:color w:val="1A1A1A"/>
          <w:sz w:val="20"/>
          <w:szCs w:val="20"/>
        </w:rPr>
        <w:t xml:space="preserve">By signing below, the named individuals acknowledge that they have reviewed this Project Charter and formally authorise the Real-Time Payment Fraud Prevention System project to proceed to the Requirements phase.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Chief Risk Officer (Sponsor)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BBBBB"/>
                <w:sz w:val="19"/>
                <w:szCs w:val="19"/>
              </w:rPr>
              <w:t xml:space="preserve">____________________</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BBBBB"/>
                <w:sz w:val="19"/>
                <w:szCs w:val="19"/>
              </w:rPr>
              <w:t xml:space="preserve">____________________</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Head of Fraud Operations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BBBBB"/>
                <w:sz w:val="19"/>
                <w:szCs w:val="19"/>
              </w:rPr>
              <w:t xml:space="preserve">____________________</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BBBBB"/>
                <w:sz w:val="19"/>
                <w:szCs w:val="19"/>
              </w:rPr>
              <w:t xml:space="preserve">____________________</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IT / 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BBBBB"/>
                <w:sz w:val="19"/>
                <w:szCs w:val="19"/>
              </w:rPr>
              <w:t xml:space="preserve">____________________</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BBBBB"/>
                <w:sz w:val="19"/>
                <w:szCs w:val="19"/>
              </w:rPr>
              <w:t xml:space="preserve">____________________</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Business Analyst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BBBBB"/>
                <w:sz w:val="19"/>
                <w:szCs w:val="19"/>
              </w:rPr>
              <w:t xml:space="preserve">____________________</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BBBBB"/>
                <w:sz w:val="19"/>
                <w:szCs w:val="19"/>
              </w:rPr>
              <w:t xml:space="preserve">March 06, 2026</w:t>
            </w:r>
          </w:p>
        </w:tc>
      </w:tr>
    </w:tbl>
    <w:p>
      <w:pPr>
        <w:spacing w:before="80" w:after="80"/>
      </w:pPr>
      <w:r>
        <w:t xml:space="preserve"/>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B3A6B"/>
          <w:sz w:val="28"/>
          <w:szCs w:val="28"/>
        </w:rPr>
        <w:t xml:space="preserve">  11.  Document Control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60"/>
        <w:gridCol w:w="220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Changes Made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06 March 2026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Initial document creation — all sections drafted for Phase 1 sign-off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 Portfolio Author</w:t>
            </w:r>
          </w:p>
        </w:tc>
      </w:tr>
    </w:tbl>
    <w:p>
      <w:pPr>
        <w:spacing w:before="80" w:after="80"/>
      </w:pPr>
      <w:r>
        <w:t xml:space="preserve"/>
      </w:r>
    </w:p>
    <w:p>
      <w:pPr>
        <w:spacing w:before="400" w:after="100"/>
        <w:jc w:val="center"/>
      </w:pPr>
      <w:r>
        <w:rPr>
          <w:rFonts w:ascii="Arial" w:cs="Arial" w:eastAsia="Arial" w:hAnsi="Arial"/>
          <w:i/>
          <w:iCs/>
          <w:color w:val="AAAAAA"/>
          <w:sz w:val="18"/>
          <w:szCs w:val="18"/>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7"/>
        <w:szCs w:val="17"/>
      </w:rPr>
      <w:t xml:space="preserve">BA Portfolio Project  |  Version 1.0  |  March 2026</w:t>
    </w:r>
    <w:r>
      <w:rPr>
        <w:rFonts w:ascii="Arial" w:cs="Arial" w:eastAsia="Arial" w:hAnsi="Arial"/>
        <w:color w:val="888888"/>
        <w:sz w:val="17"/>
        <w:szCs w:val="17"/>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2E75B6"/>
        <w:sz w:val="18"/>
        <w:szCs w:val="18"/>
      </w:rPr>
      <w:t xml:space="preserve">Real-Time Payment Fraud Prevention System  |  Project Charter</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2026-03-06T07:30:10.403Z</dcterms:created>
  <dcterms:modified xsi:type="dcterms:W3CDTF">2026-03-06T07:30:10.404Z</dcterms:modified>
</cp:coreProperties>
</file>

<file path=docProps/custom.xml><?xml version="1.0" encoding="utf-8"?>
<Properties xmlns="http://schemas.openxmlformats.org/officeDocument/2006/custom-properties" xmlns:vt="http://schemas.openxmlformats.org/officeDocument/2006/docPropsVTypes"/>
</file>