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Databricks Lakehouse Workspace Topology and Enterprise Governance Design Document</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Executive Summary and Architectural Vision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Modern enterprise data architectures require a robust structural foundation that balances stringent security controls, multi-tenant isolation, operational efficiency, and cross-functional collaboration</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The Databricks Data Intelligence Platform fulfills these requirements by adhering to the Lakehouse architectural paradigm, consolidating data engineering, data warehousing, machine learning, and operational analytics into a unified compute and governance environment</w:t>
      </w:r>
      <w:r w:rsidDel="00000000" w:rsidR="00000000" w:rsidRPr="00000000">
        <w:rPr>
          <w:rFonts w:ascii="Arial" w:cs="Arial" w:eastAsia="Arial" w:hAnsi="Arial"/>
          <w:sz w:val="24"/>
          <w:szCs w:val="24"/>
          <w:vertAlign w:val="superscript"/>
          <w:rtl w:val="0"/>
        </w:rPr>
        <w:t xml:space="preserve">4</w:t>
      </w:r>
      <w:r w:rsidDel="00000000" w:rsidR="00000000" w:rsidRPr="00000000">
        <w:rPr>
          <w:rFonts w:ascii="Arial" w:cs="Arial" w:eastAsia="Arial" w:hAnsi="Arial"/>
          <w:rtl w:val="0"/>
        </w:rPr>
        <w:t xml:space="preserve">. Designing an enterprise-grade workspace topology for Databricks involves structuring operational, computational, and governance boundaries to support scalable organizational growth while mitigating data exfiltration risks and administrative bloat</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foundational premise of this architecture design is the structural decoupling of execution boundaries from data governance boundaries</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Workspaces function as regional, operational execution environments where compute clusters run and collaboration artifacts reside</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Conversely, Unity Catalog operates as a centralized governance control plane that enforces unified access control, audit logging, and asset discovery across all workspaces attached to a metastore within a cloud region</w:t>
      </w:r>
      <w:r w:rsidDel="00000000" w:rsidR="00000000" w:rsidRPr="00000000">
        <w:rPr>
          <w:rFonts w:ascii="Arial" w:cs="Arial" w:eastAsia="Arial" w:hAnsi="Arial"/>
          <w:sz w:val="24"/>
          <w:szCs w:val="24"/>
          <w:vertAlign w:val="superscript"/>
          <w:rtl w:val="0"/>
        </w:rPr>
        <w:t xml:space="preserve">5</w:t>
      </w:r>
      <w:r w:rsidDel="00000000" w:rsidR="00000000" w:rsidRPr="00000000">
        <w:rPr>
          <w:rFonts w:ascii="Arial" w:cs="Arial" w:eastAsia="Arial" w:hAnsi="Arial"/>
          <w:rtl w:val="0"/>
        </w:rPr>
        <w:t xml:space="preserve">. This document outlines a recommended synthesis topology that combines software development lifecycle environment separation with business unit federation, providing a scalable design framework for enterprise deployments</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Core Architectural Foundations and Platform Hierarchy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Databricks platform hierarchy comprises distinct administrative, governance, operational, and computational layers</w:t>
      </w:r>
      <w:r w:rsidDel="00000000" w:rsidR="00000000" w:rsidRPr="00000000">
        <w:rPr>
          <w:rFonts w:ascii="Arial" w:cs="Arial" w:eastAsia="Arial" w:hAnsi="Arial"/>
          <w:sz w:val="24"/>
          <w:szCs w:val="24"/>
          <w:vertAlign w:val="superscript"/>
          <w:rtl w:val="0"/>
        </w:rPr>
        <w:t xml:space="preserve">5</w:t>
      </w:r>
      <w:r w:rsidDel="00000000" w:rsidR="00000000" w:rsidRPr="00000000">
        <w:rPr>
          <w:rFonts w:ascii="Arial" w:cs="Arial" w:eastAsia="Arial" w:hAnsi="Arial"/>
          <w:rtl w:val="0"/>
        </w:rPr>
        <w:t xml:space="preserve">. At the highest level, the Databricks Account serves as the master administrative boundary across an enterprise cloud deployment</w:t>
      </w:r>
      <w:r w:rsidDel="00000000" w:rsidR="00000000" w:rsidRPr="00000000">
        <w:rPr>
          <w:rFonts w:ascii="Arial" w:cs="Arial" w:eastAsia="Arial" w:hAnsi="Arial"/>
          <w:sz w:val="24"/>
          <w:szCs w:val="24"/>
          <w:vertAlign w:val="superscript"/>
          <w:rtl w:val="0"/>
        </w:rPr>
        <w:t xml:space="preserve">5</w:t>
      </w:r>
      <w:r w:rsidDel="00000000" w:rsidR="00000000" w:rsidRPr="00000000">
        <w:rPr>
          <w:rFonts w:ascii="Arial" w:cs="Arial" w:eastAsia="Arial" w:hAnsi="Arial"/>
          <w:rtl w:val="0"/>
        </w:rPr>
        <w:t xml:space="preserve">. The account tier manages global identity federation via Single Sign-On and System Cross-domain Identity Management provisioning, billing aggregation, cross-workspace security policies, and regional Unity Catalog metastores</w:t>
      </w:r>
      <w:r w:rsidDel="00000000" w:rsidR="00000000" w:rsidRPr="00000000">
        <w:rPr>
          <w:rFonts w:ascii="Arial" w:cs="Arial" w:eastAsia="Arial" w:hAnsi="Arial"/>
          <w:sz w:val="24"/>
          <w:szCs w:val="24"/>
          <w:vertAlign w:val="superscript"/>
          <w:rtl w:val="0"/>
        </w:rPr>
        <w:t xml:space="preserve">5</w:t>
      </w:r>
      <w:r w:rsidDel="00000000" w:rsidR="00000000" w:rsidRPr="00000000">
        <w:rPr>
          <w:rFonts w:ascii="Arial" w:cs="Arial" w:eastAsia="Arial" w:hAnsi="Arial"/>
          <w:rtl w:val="0"/>
        </w:rPr>
        <w:t xml:space="preserve">. Beneath the account tier, regional Unity Catalog metastores establish the centralized data governance perimeter</w:t>
      </w:r>
      <w:r w:rsidDel="00000000" w:rsidR="00000000" w:rsidRPr="00000000">
        <w:rPr>
          <w:rFonts w:ascii="Arial" w:cs="Arial" w:eastAsia="Arial" w:hAnsi="Arial"/>
          <w:sz w:val="24"/>
          <w:szCs w:val="24"/>
          <w:vertAlign w:val="superscript"/>
          <w:rtl w:val="0"/>
        </w:rPr>
        <w:t xml:space="preserve">5</w:t>
      </w:r>
      <w:r w:rsidDel="00000000" w:rsidR="00000000" w:rsidRPr="00000000">
        <w:rPr>
          <w:rFonts w:ascii="Arial" w:cs="Arial" w:eastAsia="Arial" w:hAnsi="Arial"/>
          <w:rtl w:val="0"/>
        </w:rPr>
        <w:t xml:space="preserve">. Workspaces attach directly to a metastore within the same region, allowing compute engines running in disparate workspaces to query identical data definitions under unified access rules</w:t>
      </w:r>
      <w:r w:rsidDel="00000000" w:rsidR="00000000" w:rsidRPr="00000000">
        <w:rPr>
          <w:rFonts w:ascii="Arial" w:cs="Arial" w:eastAsia="Arial" w:hAnsi="Arial"/>
          <w:sz w:val="24"/>
          <w:szCs w:val="24"/>
          <w:vertAlign w:val="superscript"/>
          <w:rtl w:val="0"/>
        </w:rPr>
        <w:t xml:space="preserve">5</w:t>
      </w:r>
      <w:r w:rsidDel="00000000" w:rsidR="00000000" w:rsidRPr="00000000">
        <w:rPr>
          <w:rFonts w:ascii="Arial" w:cs="Arial" w:eastAsia="Arial" w:hAnsi="Arial"/>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w:t>
        <w:br w:type="textWrapping"/>
        <w:t xml:space="preserve">|                            Databricks Account Level                               |</w:t>
        <w:br w:type="textWrapping"/>
        <w:t xml:space="preserve">|  - SSO &amp; Identity Provisioning (SCIM)    - Billing &amp; Global FinOps (System Tables)|</w:t>
        <w:br w:type="textWrapping"/>
        <w:t xml:space="preserve">|  - Global Security &amp; IP Access Lists     - Network Connectivity Configs (NCCs)    |</w:t>
        <w:br w:type="textWrapping"/>
        <w:t xml:space="preserve">|                                                                                   |</w:t>
        <w:br w:type="textWrapping"/>
        <w:t xml:space="preserve">|  +-----------------------------------------------------------------------------+  |</w:t>
        <w:br w:type="textWrapping"/>
        <w:t xml:space="preserve">|  |                        Unity Catalog Metastore                              |  |</w:t>
        <w:br w:type="textWrapping"/>
        <w:t xml:space="preserve">|  |  - Centralized Governance Boundary (Region-Scoped)                        |  |</w:t>
        <w:br w:type="textWrapping"/>
        <w:t xml:space="preserve">|  |  - Three-Level Namespace: Catalog . Schema . Table / Volume / Model        |  |</w:t>
        <w:br w:type="textWrapping"/>
        <w:t xml:space="preserve">|  +-----------------------------------------------------------------------------+  |</w:t>
        <w:br w:type="textWrapping"/>
        <w:t xml:space="preserve">|         |                                  |                               |      |</w:t>
        <w:br w:type="textWrapping"/>
        <w:t xml:space="preserve">|         v                                  v                               v      |</w:t>
        <w:br w:type="textWrapping"/>
        <w:t xml:space="preserve">|  +----------------------+        +----------------------+        +-------------------+|</w:t>
        <w:br w:type="textWrapping"/>
        <w:t xml:space="preserve">|  |  Dev Workspace       |        |  Staging Workspace   |        | Prod Workspace    ||</w:t>
        <w:br w:type="textWrapping"/>
        <w:t xml:space="preserve">|  |  (Operational Realm) |        |  (Operational Realm) |        | (Operational Realm||</w:t>
        <w:br w:type="textWrapping"/>
        <w:t xml:space="preserve">|  +----------------------+        +----------------------+        +-------------------+|</w:t>
        <w:br w:type="textWrapping"/>
        <w:t xml:space="preserve">+-----------------------------------------------------------------------------------+</w:t>
        <w:br w:type="textWrapping"/>
        <w:t xml:space="preserve">                                     |</w:t>
        <w:br w:type="textWrapping"/>
        <w:t xml:space="preserve">    +--------------------------------+--------------------------------+</w:t>
        <w:br w:type="textWrapping"/>
        <w:t xml:space="preserve">    |                                                                 |</w:t>
        <w:br w:type="textWrapping"/>
        <w:t xml:space="preserve">    v                                                                 v</w:t>
        <w:br w:type="textWrapping"/>
        <w:t xml:space="preserve">+------------------------------------+              +------------------------------------+</w:t>
        <w:br w:type="textWrapping"/>
        <w:t xml:space="preserve">|       Classic Compute Plane        |              |      Serverless Compute Plane      |</w:t>
        <w:br w:type="textWrapping"/>
        <w:t xml:space="preserve">|  - Customer Cloud VPC / VNet       |              |  - Databricks Cloud Account        |</w:t>
        <w:br w:type="textWrapping"/>
        <w:t xml:space="preserve">|  - Dual Subnets (Container/Host)   |              |  - Rapid Auto-Scaling &amp; Pre-warmed |</w:t>
        <w:br w:type="textWrapping"/>
        <w:t xml:space="preserve">|  - VNet Injection &amp; SCC Relay      |              |  - Outbound Egress via NCC         |</w:t>
        <w:br w:type="textWrapping"/>
        <w:t xml:space="preserve">+------------------------------------+              +------------------------------------+</w:t>
        <w:br w:type="textWrapping"/>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execution model relies on a decoupled two-plane operational architecture consisting of a Databricks-managed Control Plane and a Compute Plane</w:t>
      </w:r>
      <w:r w:rsidDel="00000000" w:rsidR="00000000" w:rsidRPr="00000000">
        <w:rPr>
          <w:rFonts w:ascii="Arial" w:cs="Arial" w:eastAsia="Arial" w:hAnsi="Arial"/>
          <w:sz w:val="24"/>
          <w:szCs w:val="24"/>
          <w:vertAlign w:val="superscript"/>
          <w:rtl w:val="0"/>
        </w:rPr>
        <w:t xml:space="preserve">5</w:t>
      </w:r>
      <w:r w:rsidDel="00000000" w:rsidR="00000000" w:rsidRPr="00000000">
        <w:rPr>
          <w:rFonts w:ascii="Arial" w:cs="Arial" w:eastAsia="Arial" w:hAnsi="Arial"/>
          <w:rtl w:val="0"/>
        </w:rPr>
        <w:t xml:space="preserve">. The Control Plane resides within the Databricks cloud infrastructure and hosts the web application UI, REST APIs, job scheduler, cluster management services, and workspace state storage</w:t>
      </w:r>
      <w:r w:rsidDel="00000000" w:rsidR="00000000" w:rsidRPr="00000000">
        <w:rPr>
          <w:rFonts w:ascii="Arial" w:cs="Arial" w:eastAsia="Arial" w:hAnsi="Arial"/>
          <w:sz w:val="24"/>
          <w:szCs w:val="24"/>
          <w:vertAlign w:val="superscript"/>
          <w:rtl w:val="0"/>
        </w:rPr>
        <w:t xml:space="preserve">5</w:t>
      </w:r>
      <w:r w:rsidDel="00000000" w:rsidR="00000000" w:rsidRPr="00000000">
        <w:rPr>
          <w:rFonts w:ascii="Arial" w:cs="Arial" w:eastAsia="Arial" w:hAnsi="Arial"/>
          <w:rtl w:val="0"/>
        </w:rPr>
        <w:t xml:space="preserve">. Notebooks, job configurations, and workspace metadata are encrypted at rest within the Control Plane</w:t>
      </w:r>
      <w:r w:rsidDel="00000000" w:rsidR="00000000" w:rsidRPr="00000000">
        <w:rPr>
          <w:rFonts w:ascii="Arial" w:cs="Arial" w:eastAsia="Arial" w:hAnsi="Arial"/>
          <w:sz w:val="24"/>
          <w:szCs w:val="24"/>
          <w:vertAlign w:val="superscript"/>
          <w:rtl w:val="0"/>
        </w:rPr>
        <w:t xml:space="preserve">9</w:t>
      </w:r>
      <w:r w:rsidDel="00000000" w:rsidR="00000000" w:rsidRPr="00000000">
        <w:rPr>
          <w:rFonts w:ascii="Arial" w:cs="Arial" w:eastAsia="Arial" w:hAnsi="Arial"/>
          <w:rtl w:val="0"/>
        </w:rPr>
        <w:t xml:space="preserve">. Data processing occurs exclusively within the Compute Plane, which exists in two distinct operational forms</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Classic Compute Plane:</w:t>
      </w:r>
      <w:r w:rsidDel="00000000" w:rsidR="00000000" w:rsidRPr="00000000">
        <w:rPr>
          <w:rFonts w:ascii="Arial" w:cs="Arial" w:eastAsia="Arial" w:hAnsi="Arial"/>
          <w:rtl w:val="0"/>
        </w:rPr>
        <w:t xml:space="preserve"> Compute clusters execute within virtual networks (AWS Virtual Private Cloud, Azure Virtual Network, or GCP VPC) owned and managed directly by the customer</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Classic compute requires a dual-subnet configuration consisting of a container subnet and a host subnet</w:t>
      </w:r>
      <w:r w:rsidDel="00000000" w:rsidR="00000000" w:rsidRPr="00000000">
        <w:rPr>
          <w:rFonts w:ascii="Arial" w:cs="Arial" w:eastAsia="Arial" w:hAnsi="Arial"/>
          <w:sz w:val="24"/>
          <w:szCs w:val="24"/>
          <w:vertAlign w:val="superscript"/>
          <w:rtl w:val="0"/>
        </w:rPr>
        <w:t xml:space="preserve">9</w:t>
      </w:r>
      <w:r w:rsidDel="00000000" w:rsidR="00000000" w:rsidRPr="00000000">
        <w:rPr>
          <w:rFonts w:ascii="Arial" w:cs="Arial" w:eastAsia="Arial" w:hAnsi="Arial"/>
          <w:rtl w:val="0"/>
        </w:rPr>
        <w:t xml:space="preserve">. Inbound access is blocked using Secure Cluster Connectivity, which routes traffic outbound through relay proxies to avoid public IP exposure</w:t>
      </w:r>
      <w:r w:rsidDel="00000000" w:rsidR="00000000" w:rsidRPr="00000000">
        <w:rPr>
          <w:rFonts w:ascii="Arial" w:cs="Arial" w:eastAsia="Arial" w:hAnsi="Arial"/>
          <w:sz w:val="24"/>
          <w:szCs w:val="24"/>
          <w:vertAlign w:val="superscript"/>
          <w:rtl w:val="0"/>
        </w:rPr>
        <w:t xml:space="preserve">3</w:t>
      </w:r>
      <w:r w:rsidDel="00000000" w:rsidR="00000000" w:rsidRPr="00000000">
        <w:rPr>
          <w:rFonts w:ascii="Arial" w:cs="Arial" w:eastAsia="Arial" w:hAnsi="Arial"/>
          <w:rtl w:val="0"/>
        </w:rPr>
        <w:t xml:space="preserve">.</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Serverless Compute Plane:</w:t>
      </w:r>
      <w:r w:rsidDel="00000000" w:rsidR="00000000" w:rsidRPr="00000000">
        <w:rPr>
          <w:rFonts w:ascii="Arial" w:cs="Arial" w:eastAsia="Arial" w:hAnsi="Arial"/>
          <w:rtl w:val="0"/>
        </w:rPr>
        <w:t xml:space="preserve"> Compute infrastructure executes in pre-warmed, rapidly scaling capacity hosted inside Databricks-managed cloud accounts within the same region as the customer workspace</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Serverless workloads achieve private outbound access to customer storage accounts and databases through account-level Network Connectivity Configurations</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Structural Layer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Location / Ownership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Primary Responsibilities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Key Managed Objects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Account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Databricks Cloud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Global administration, identity federation, billing, global policies</w:t>
            </w:r>
            <w:r w:rsidDel="00000000" w:rsidR="00000000" w:rsidRPr="00000000">
              <w:rPr>
                <w:rFonts w:ascii="Arial" w:cs="Arial" w:eastAsia="Arial" w:hAnsi="Arial"/>
                <w:sz w:val="24"/>
                <w:szCs w:val="24"/>
                <w:vertAlign w:val="superscript"/>
                <w:rtl w:val="0"/>
              </w:rPr>
              <w:t xml:space="preserve">5</w:t>
            </w:r>
            <w:r w:rsidDel="00000000" w:rsidR="00000000" w:rsidRPr="00000000">
              <w:rPr>
                <w:rFonts w:ascii="Arial" w:cs="Arial" w:eastAsia="Arial" w:hAnsi="Arial"/>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Users, Service Principals, Groups, Workspaces, Metastores, NCCs</w:t>
            </w:r>
            <w:r w:rsidDel="00000000" w:rsidR="00000000" w:rsidRPr="00000000">
              <w:rPr>
                <w:rFonts w:ascii="Arial" w:cs="Arial" w:eastAsia="Arial" w:hAnsi="Arial"/>
                <w:sz w:val="24"/>
                <w:szCs w:val="24"/>
                <w:vertAlign w:val="superscript"/>
                <w:rtl w:val="0"/>
              </w:rPr>
              <w:t xml:space="preserve">5</w:t>
            </w:r>
            <w:r w:rsidDel="00000000" w:rsidR="00000000" w:rsidRPr="00000000">
              <w:rPr>
                <w:rFonts w:ascii="Arial" w:cs="Arial" w:eastAsia="Arial" w:hAnsi="Arial"/>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Control Plane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Databricks Cloud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Platform orchestration, Web UI, API management, job scheduling</w:t>
            </w:r>
            <w:r w:rsidDel="00000000" w:rsidR="00000000" w:rsidRPr="00000000">
              <w:rPr>
                <w:rFonts w:ascii="Arial" w:cs="Arial" w:eastAsia="Arial" w:hAnsi="Arial"/>
                <w:sz w:val="24"/>
                <w:szCs w:val="24"/>
                <w:vertAlign w:val="superscript"/>
                <w:rtl w:val="0"/>
              </w:rPr>
              <w:t xml:space="preserve">5</w:t>
            </w:r>
            <w:r w:rsidDel="00000000" w:rsidR="00000000" w:rsidRPr="00000000">
              <w:rPr>
                <w:rFonts w:ascii="Arial" w:cs="Arial" w:eastAsia="Arial" w:hAnsi="Arial"/>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Web App, Workspace state, UI metadata, Job scheduler</w:t>
            </w:r>
            <w:r w:rsidDel="00000000" w:rsidR="00000000" w:rsidRPr="00000000">
              <w:rPr>
                <w:rFonts w:ascii="Arial" w:cs="Arial" w:eastAsia="Arial" w:hAnsi="Arial"/>
                <w:sz w:val="24"/>
                <w:szCs w:val="24"/>
                <w:vertAlign w:val="superscript"/>
                <w:rtl w:val="0"/>
              </w:rPr>
              <w:t xml:space="preserve">5</w:t>
            </w:r>
            <w:r w:rsidDel="00000000" w:rsidR="00000000" w:rsidRPr="00000000">
              <w:rPr>
                <w:rFonts w:ascii="Arial" w:cs="Arial" w:eastAsia="Arial" w:hAnsi="Arial"/>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Classic Compute Plane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Customer Cloud Account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Customer-hosted data processing, pipeline execution, interactive analysis</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Virtual Machines, Subnets, Cluster Security Groups, NAT Gateways</w:t>
            </w:r>
            <w:r w:rsidDel="00000000" w:rsidR="00000000" w:rsidRPr="00000000">
              <w:rPr>
                <w:rFonts w:ascii="Arial" w:cs="Arial" w:eastAsia="Arial" w:hAnsi="Arial"/>
                <w:sz w:val="24"/>
                <w:szCs w:val="24"/>
                <w:vertAlign w:val="superscript"/>
                <w:rtl w:val="0"/>
              </w:rPr>
              <w:t xml:space="preserve">3</w:t>
            </w:r>
            <w:r w:rsidDel="00000000" w:rsidR="00000000" w:rsidRPr="00000000">
              <w:rPr>
                <w:rFonts w:ascii="Arial" w:cs="Arial" w:eastAsia="Arial" w:hAnsi="Arial"/>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Serverless Compute Plane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Databricks Cloud (Same Region)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Managed SQL, Serverless Jobs, Model Serving, Serverless Pipelines</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Pre-warmed compute clusters, Serverless Network Gateways</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Unity Catalog Metastore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Regional Construct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Centralized asset governance, access control, audit logging</w:t>
            </w:r>
            <w:r w:rsidDel="00000000" w:rsidR="00000000" w:rsidRPr="00000000">
              <w:rPr>
                <w:rFonts w:ascii="Arial" w:cs="Arial" w:eastAsia="Arial" w:hAnsi="Arial"/>
                <w:sz w:val="24"/>
                <w:szCs w:val="24"/>
                <w:vertAlign w:val="superscript"/>
                <w:rtl w:val="0"/>
              </w:rPr>
              <w:t xml:space="preserve">5</w:t>
            </w:r>
            <w:r w:rsidDel="00000000" w:rsidR="00000000" w:rsidRPr="00000000">
              <w:rPr>
                <w:rFonts w:ascii="Arial" w:cs="Arial" w:eastAsia="Arial" w:hAnsi="Arial"/>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Catalogs, Schemas, Tables, Views, Volumes, Models, Shares</w:t>
            </w:r>
            <w:r w:rsidDel="00000000" w:rsidR="00000000" w:rsidRPr="00000000">
              <w:rPr>
                <w:rFonts w:ascii="Arial" w:cs="Arial" w:eastAsia="Arial" w:hAnsi="Arial"/>
                <w:sz w:val="24"/>
                <w:szCs w:val="24"/>
                <w:vertAlign w:val="superscript"/>
                <w:rtl w:val="0"/>
              </w:rPr>
              <w:t xml:space="preserve">4</w:t>
            </w:r>
            <w:r w:rsidDel="00000000" w:rsidR="00000000" w:rsidRPr="00000000">
              <w:rPr>
                <w:rFonts w:ascii="Arial" w:cs="Arial" w:eastAsia="Arial" w:hAnsi="Arial"/>
                <w:rtl w:val="0"/>
              </w:rPr>
              <w:t xml:space="preserve">.</w:t>
            </w:r>
          </w:p>
        </w:tc>
      </w:tr>
    </w:tbl>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Workspace Topology Architectural Patterns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Determining the appropriate workspace separation layout requires balancing technical security boundaries against administrative maintenance overhead</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Workspace partitioning across an enterprise is governed by four primary operational drivers: regulatory requirements, software development lifecycle (SDLC) boundaries, business unit isolation, and platform testing needs</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Regulatory isolation mandates that data subject to compliance standards—such as Payment Card Industry Data Security Standard, Health Insurance Portability and Accountability Act, or strict personal data protection laws—must reside in isolated workspaces</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This physical separation prevents accidental data exposure and simplifies audit reporting</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Software development lifecycle isolation dictates that development, staging, and production environments must occupy separate workspaces</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This separation ensures unvetted code, experimental libraries, and non-production privileges cannot alter production datasets or disrupt operational pipelines</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Business unit isolation addresses organizational structures where independent divisions require dedicated administrative control over local secret scopes, compute policies, and workspace assets</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Finally, platform testing isolation provides platform engineering teams with an isolated environment to validate Databricks runtime upgrades, new feature rollouts, and infrastructure automation scripts without exposing business operations to platform instability</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w:t>
        <w:br w:type="textWrapping"/>
        <w:t xml:space="preserve">|                           RECOMMENDED SYNTHESIS TOPOLOGY                          |</w:t>
        <w:br w:type="textWrapping"/>
        <w:t xml:space="preserve">|                                                                                   |</w:t>
        <w:br w:type="textWrapping"/>
        <w:t xml:space="preserve">|  +-----------------------------------------------------------------------------+  |</w:t>
        <w:br w:type="textWrapping"/>
        <w:t xml:space="preserve">|  |                    Shared Unity Catalog Metastore (Region)                  |  |</w:t>
        <w:br w:type="textWrapping"/>
        <w:t xml:space="preserve">|  +-----------------------------------------------------------------------------+  |</w:t>
        <w:br w:type="textWrapping"/>
        <w:t xml:space="preserve">|            |                                |                              |      |</w:t>
        <w:br w:type="textWrapping"/>
        <w:t xml:space="preserve">|            v                                v                              v      |</w:t>
        <w:br w:type="textWrapping"/>
        <w:t xml:space="preserve">|  +-------------------+            +-------------------+          +----------------+</w:t>
        <w:br w:type="textWrapping"/>
        <w:t xml:space="preserve">|  | Dev Workspaces    |            | Staging Workspace |          | Prod Workspace |</w:t>
        <w:br w:type="textWrapping"/>
        <w:t xml:space="preserve">|  | (BU Segregated)   |            | (Pre-Prod Testing)|          | (Isolated Ops) |</w:t>
        <w:br w:type="textWrapping"/>
        <w:t xml:space="preserve">|  | - ws-dev-finance  |            | - ws-staging-core |          | - ws-prod-core |</w:t>
        <w:br w:type="textWrapping"/>
        <w:t xml:space="preserve">|  | - ws-dev-marketing|            +-------------------+          +----------------+</w:t>
        <w:br w:type="textWrapping"/>
        <w:t xml:space="preserve">|  +-------------------+                                                            |</w:t>
        <w:br w:type="textWrapping"/>
        <w:t xml:space="preserve">+-----------------------------------------------------------------------------------+</w:t>
        <w:br w:type="textWrapping"/>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Evaluating topology options reveals distinct trade-offs across execution patterns:</w:t>
      </w:r>
    </w:p>
    <w:p w:rsidR="00000000" w:rsidDel="00000000" w:rsidP="00000000" w:rsidRDefault="00000000" w:rsidRPr="00000000" w14:paraId="00000030">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Single Workspace Monolith:</w:t>
      </w:r>
      <w:r w:rsidDel="00000000" w:rsidR="00000000" w:rsidRPr="00000000">
        <w:rPr>
          <w:rFonts w:ascii="Arial" w:cs="Arial" w:eastAsia="Arial" w:hAnsi="Arial"/>
          <w:rtl w:val="0"/>
        </w:rPr>
        <w:t xml:space="preserve"> Houses all users, environments, and business functions within a single workspace</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While offering low setup complexity, this layout introduces significant operational risk due to potential production disruptions, bloated access control lists, and the absence of network isolation between lifecycle tiers</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w:t>
      </w:r>
    </w:p>
    <w:p w:rsidR="00000000" w:rsidDel="00000000" w:rsidP="00000000" w:rsidRDefault="00000000" w:rsidRPr="00000000" w14:paraId="00000031">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SDLC-Segregated Topology:</w:t>
      </w:r>
      <w:r w:rsidDel="00000000" w:rsidR="00000000" w:rsidRPr="00000000">
        <w:rPr>
          <w:rFonts w:ascii="Arial" w:cs="Arial" w:eastAsia="Arial" w:hAnsi="Arial"/>
          <w:rtl w:val="0"/>
        </w:rPr>
        <w:t xml:space="preserve"> Creates separate workspaces for Development, Staging, and Production environments</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This layout establishes clear security perimeters between environments, aligns with cloud subscription models, and simplifies continuous integration and continuous deployment (CI/CD) release pipelines</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w:t>
      </w:r>
    </w:p>
    <w:p w:rsidR="00000000" w:rsidDel="00000000" w:rsidP="00000000" w:rsidRDefault="00000000" w:rsidRPr="00000000" w14:paraId="00000032">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Business Unit Federated Topology:</w:t>
      </w:r>
      <w:r w:rsidDel="00000000" w:rsidR="00000000" w:rsidRPr="00000000">
        <w:rPr>
          <w:rFonts w:ascii="Arial" w:cs="Arial" w:eastAsia="Arial" w:hAnsi="Arial"/>
          <w:rtl w:val="0"/>
        </w:rPr>
        <w:t xml:space="preserve"> Provisions dedicated workspaces for individual organizational divisions</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This grants local business units operational autonomy and simplified cost tracking, but can result in governance fragmentation if not controlled by a centralized Unity Catalog metastore</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w:t>
      </w:r>
    </w:p>
    <w:p w:rsidR="00000000" w:rsidDel="00000000" w:rsidP="00000000" w:rsidRDefault="00000000" w:rsidRPr="00000000" w14:paraId="00000033">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Recommended Synthesis Architecture (Hybrid Multi-BU SDLC):</w:t>
      </w:r>
      <w:r w:rsidDel="00000000" w:rsidR="00000000" w:rsidRPr="00000000">
        <w:rPr>
          <w:rFonts w:ascii="Arial" w:cs="Arial" w:eastAsia="Arial" w:hAnsi="Arial"/>
          <w:rtl w:val="0"/>
        </w:rPr>
        <w:t xml:space="preserve"> Synthesizes environment separation with domain-based federation</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Business units are provisioned with isolated development workspaces for interactive exploration, while pre-production validation and production execution are consolidated into centralized, highly secured Staging and Production workspaces</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Production deployments are governed strictly by automated CI/CD service principals, eliminating manual access to production compute</w:t>
      </w:r>
      <w:r w:rsidDel="00000000" w:rsidR="00000000" w:rsidRPr="00000000">
        <w:rPr>
          <w:rFonts w:ascii="Arial" w:cs="Arial" w:eastAsia="Arial" w:hAnsi="Arial"/>
          <w:sz w:val="24"/>
          <w:szCs w:val="24"/>
          <w:vertAlign w:val="superscript"/>
          <w:rtl w:val="0"/>
        </w:rPr>
        <w:t xml:space="preserve">2</w:t>
      </w:r>
      <w:r w:rsidDel="00000000" w:rsidR="00000000" w:rsidRPr="00000000">
        <w:rPr>
          <w:rFonts w:ascii="Arial" w:cs="Arial" w:eastAsia="Arial" w:hAnsi="Arial"/>
          <w:rtl w:val="0"/>
        </w:rPr>
        <w:t xml:space="preserv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Topology Pattern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SDLC Isolation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BU Autonomy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Governance Friction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Network Complexity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Target Enterprise Profile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Single Workspace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Minimal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High (ACL Bloat)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Small-scale proofs-of-concept</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SDLC-Segregated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Low (Central Metastore)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Medium (3 Subscriptions/VPCs)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Mid-market to standard enterprise</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BU Federated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High (Multiple BU VPCs)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Decentralized business units</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Hybrid Multi-BU SDLC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Maximum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Low (Unified Governance)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High (Hub-and-Spoke Mesh)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Global enterprise &amp; regulated sectors</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w:t>
            </w:r>
          </w:p>
        </w:tc>
      </w:tr>
    </w:tbl>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Unity Catalog Metastore and Governance Layout</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Data governance within the Databricks Lakehouse platform is managed through Unity Catalog</w:t>
      </w:r>
      <w:r w:rsidDel="00000000" w:rsidR="00000000" w:rsidRPr="00000000">
        <w:rPr>
          <w:rFonts w:ascii="Arial" w:cs="Arial" w:eastAsia="Arial" w:hAnsi="Arial"/>
          <w:sz w:val="24"/>
          <w:szCs w:val="24"/>
          <w:vertAlign w:val="superscript"/>
          <w:rtl w:val="0"/>
        </w:rPr>
        <w:t xml:space="preserve">5</w:t>
      </w:r>
      <w:r w:rsidDel="00000000" w:rsidR="00000000" w:rsidRPr="00000000">
        <w:rPr>
          <w:rFonts w:ascii="Arial" w:cs="Arial" w:eastAsia="Arial" w:hAnsi="Arial"/>
          <w:rtl w:val="0"/>
        </w:rPr>
        <w:t xml:space="preserve">. Deploying a single regional Unity Catalog metastore per cloud region represents the enterprise best practice</w:t>
      </w:r>
      <w:r w:rsidDel="00000000" w:rsidR="00000000" w:rsidRPr="00000000">
        <w:rPr>
          <w:rFonts w:ascii="Arial" w:cs="Arial" w:eastAsia="Arial" w:hAnsi="Arial"/>
          <w:sz w:val="24"/>
          <w:szCs w:val="24"/>
          <w:vertAlign w:val="superscript"/>
          <w:rtl w:val="0"/>
        </w:rPr>
        <w:t xml:space="preserve">5</w:t>
      </w:r>
      <w:r w:rsidDel="00000000" w:rsidR="00000000" w:rsidRPr="00000000">
        <w:rPr>
          <w:rFonts w:ascii="Arial" w:cs="Arial" w:eastAsia="Arial" w:hAnsi="Arial"/>
          <w:rtl w:val="0"/>
        </w:rPr>
        <w:t xml:space="preserve">. Linking multiple workspaces within a region to this shared metastore establishes a unified data namespace, centralized access control policies, end-to-end data lineage, and audit logging across all environments</w:t>
      </w:r>
      <w:r w:rsidDel="00000000" w:rsidR="00000000" w:rsidRPr="00000000">
        <w:rPr>
          <w:rFonts w:ascii="Arial" w:cs="Arial" w:eastAsia="Arial" w:hAnsi="Arial"/>
          <w:sz w:val="24"/>
          <w:szCs w:val="24"/>
          <w:vertAlign w:val="superscript"/>
          <w:rtl w:val="0"/>
        </w:rPr>
        <w:t xml:space="preserve">5</w:t>
      </w:r>
      <w:r w:rsidDel="00000000" w:rsidR="00000000" w:rsidRPr="00000000">
        <w:rPr>
          <w:rFonts w:ascii="Arial" w:cs="Arial" w:eastAsia="Arial" w:hAnsi="Arial"/>
          <w:rtl w:val="0"/>
        </w:rPr>
        <w:t xml:space="preserve">. Creating separate metastores for individual workspaces creates governance silos, duplicates access control configurations, and breaks cross-workspace lineage tracking</w:t>
      </w:r>
      <w:r w:rsidDel="00000000" w:rsidR="00000000" w:rsidRPr="00000000">
        <w:rPr>
          <w:rFonts w:ascii="Arial" w:cs="Arial" w:eastAsia="Arial" w:hAnsi="Arial"/>
          <w:sz w:val="24"/>
          <w:szCs w:val="24"/>
          <w:vertAlign w:val="superscript"/>
          <w:rtl w:val="0"/>
        </w:rPr>
        <w:t xml:space="preserve">2</w:t>
      </w:r>
      <w:r w:rsidDel="00000000" w:rsidR="00000000" w:rsidRPr="00000000">
        <w:rPr>
          <w:rFonts w:ascii="Arial" w:cs="Arial" w:eastAsia="Arial" w:hAnsi="Arial"/>
          <w:rtl w:val="0"/>
        </w:rPr>
        <w:t xml:space="preserv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Unity Catalog structures assets using a three-level namespace: catalog.schema.table (or catalog.schema.volume for unstructured data files and catalog.schema.model for registered MLflow models)</w:t>
      </w:r>
      <w:r w:rsidDel="00000000" w:rsidR="00000000" w:rsidRPr="00000000">
        <w:rPr>
          <w:rFonts w:ascii="Arial" w:cs="Arial" w:eastAsia="Arial" w:hAnsi="Arial"/>
          <w:sz w:val="24"/>
          <w:szCs w:val="24"/>
          <w:vertAlign w:val="superscript"/>
          <w:rtl w:val="0"/>
        </w:rPr>
        <w:t xml:space="preserve">5</w:t>
      </w:r>
      <w:r w:rsidDel="00000000" w:rsidR="00000000" w:rsidRPr="00000000">
        <w:rPr>
          <w:rFonts w:ascii="Arial" w:cs="Arial" w:eastAsia="Arial" w:hAnsi="Arial"/>
          <w:rtl w:val="0"/>
        </w:rPr>
        <w:t xml:space="preserve">. Enterprise catalog layouts typically adhere to one of two structural designs</w:t>
      </w:r>
      <w:r w:rsidDel="00000000" w:rsidR="00000000" w:rsidRPr="00000000">
        <w:rPr>
          <w:rFonts w:ascii="Arial" w:cs="Arial" w:eastAsia="Arial" w:hAnsi="Arial"/>
          <w:sz w:val="24"/>
          <w:szCs w:val="24"/>
          <w:vertAlign w:val="superscript"/>
          <w:rtl w:val="0"/>
        </w:rPr>
        <w:t xml:space="preserve">2</w:t>
      </w:r>
      <w:r w:rsidDel="00000000" w:rsidR="00000000" w:rsidRPr="00000000">
        <w:rPr>
          <w:rFonts w:ascii="Arial" w:cs="Arial" w:eastAsia="Arial" w:hAnsi="Arial"/>
          <w:rtl w:val="0"/>
        </w:rPr>
        <w:t xml:space="preserve">:</w:t>
      </w:r>
    </w:p>
    <w:p w:rsidR="00000000" w:rsidDel="00000000" w:rsidP="00000000" w:rsidRDefault="00000000" w:rsidRPr="00000000" w14:paraId="00000056">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Environment-First Catalog Design (Recommended):</w:t>
      </w:r>
      <w:r w:rsidDel="00000000" w:rsidR="00000000" w:rsidRPr="00000000">
        <w:rPr>
          <w:rFonts w:ascii="Arial" w:cs="Arial" w:eastAsia="Arial" w:hAnsi="Arial"/>
          <w:rtl w:val="0"/>
        </w:rPr>
        <w:t xml:space="preserve"> Catalogs are segregated by lifecycle stage (dev_catalog, staging_catalog, prod_catalog), while schemas represent logical business domains such as finance, marketing, or supply_chain</w:t>
      </w:r>
      <w:r w:rsidDel="00000000" w:rsidR="00000000" w:rsidRPr="00000000">
        <w:rPr>
          <w:rFonts w:ascii="Arial" w:cs="Arial" w:eastAsia="Arial" w:hAnsi="Arial"/>
          <w:sz w:val="24"/>
          <w:szCs w:val="24"/>
          <w:vertAlign w:val="superscript"/>
          <w:rtl w:val="0"/>
        </w:rPr>
        <w:t xml:space="preserve">2</w:t>
      </w:r>
      <w:r w:rsidDel="00000000" w:rsidR="00000000" w:rsidRPr="00000000">
        <w:rPr>
          <w:rFonts w:ascii="Arial" w:cs="Arial" w:eastAsia="Arial" w:hAnsi="Arial"/>
          <w:rtl w:val="0"/>
        </w:rPr>
        <w:t xml:space="preserve">. This design aligns access controls with workspace bindings</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Developers receive write permissions within dev_catalog but are restricted to read-only permissions in staging_catalog and locked out of direct access to prod_catalog</w:t>
      </w:r>
      <w:r w:rsidDel="00000000" w:rsidR="00000000" w:rsidRPr="00000000">
        <w:rPr>
          <w:rFonts w:ascii="Arial" w:cs="Arial" w:eastAsia="Arial" w:hAnsi="Arial"/>
          <w:sz w:val="24"/>
          <w:szCs w:val="24"/>
          <w:vertAlign w:val="superscript"/>
          <w:rtl w:val="0"/>
        </w:rPr>
        <w:t xml:space="preserve">2</w:t>
      </w:r>
      <w:r w:rsidDel="00000000" w:rsidR="00000000" w:rsidRPr="00000000">
        <w:rPr>
          <w:rFonts w:ascii="Arial" w:cs="Arial" w:eastAsia="Arial" w:hAnsi="Arial"/>
          <w:rtl w:val="0"/>
        </w:rPr>
        <w:t xml:space="preserve">.</w:t>
      </w:r>
    </w:p>
    <w:p w:rsidR="00000000" w:rsidDel="00000000" w:rsidP="00000000" w:rsidRDefault="00000000" w:rsidRPr="00000000" w14:paraId="00000057">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Domain-First Catalog Design:</w:t>
      </w:r>
      <w:r w:rsidDel="00000000" w:rsidR="00000000" w:rsidRPr="00000000">
        <w:rPr>
          <w:rFonts w:ascii="Arial" w:cs="Arial" w:eastAsia="Arial" w:hAnsi="Arial"/>
          <w:rtl w:val="0"/>
        </w:rPr>
        <w:t xml:space="preserve"> Top-level catalogs represent business domains (finance_catalog, marketing_catalog), while schemas delineate lifecycle environments (dev, staging, prod)</w:t>
      </w:r>
      <w:r w:rsidDel="00000000" w:rsidR="00000000" w:rsidRPr="00000000">
        <w:rPr>
          <w:rFonts w:ascii="Arial" w:cs="Arial" w:eastAsia="Arial" w:hAnsi="Arial"/>
          <w:sz w:val="24"/>
          <w:szCs w:val="24"/>
          <w:vertAlign w:val="superscript"/>
          <w:rtl w:val="0"/>
        </w:rPr>
        <w:t xml:space="preserve">2</w:t>
      </w:r>
      <w:r w:rsidDel="00000000" w:rsidR="00000000" w:rsidRPr="00000000">
        <w:rPr>
          <w:rFonts w:ascii="Arial" w:cs="Arial" w:eastAsia="Arial" w:hAnsi="Arial"/>
          <w:rtl w:val="0"/>
        </w:rPr>
        <w:t xml:space="preserve">. This structure places domain ownership at the top tier, but requires granular, schema-level permission management to enforce lifecycle security perimeters</w:t>
      </w:r>
      <w:r w:rsidDel="00000000" w:rsidR="00000000" w:rsidRPr="00000000">
        <w:rPr>
          <w:rFonts w:ascii="Arial" w:cs="Arial" w:eastAsia="Arial" w:hAnsi="Arial"/>
          <w:sz w:val="24"/>
          <w:szCs w:val="24"/>
          <w:vertAlign w:val="superscript"/>
          <w:rtl w:val="0"/>
        </w:rPr>
        <w:t xml:space="preserve">2</w:t>
      </w:r>
      <w:r w:rsidDel="00000000" w:rsidR="00000000" w:rsidRPr="00000000">
        <w:rPr>
          <w:rFonts w:ascii="Arial" w:cs="Arial" w:eastAsia="Arial" w:hAnsi="Arial"/>
          <w:rtl w:val="0"/>
        </w:rPr>
        <w:t xml:space="preserv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When data products must be shared across geographic regions, cloud providers, or external corporate entities, the platform offers built-in data sharing protocols</w:t>
      </w:r>
      <w:r w:rsidDel="00000000" w:rsidR="00000000" w:rsidRPr="00000000">
        <w:rPr>
          <w:rFonts w:ascii="Arial" w:cs="Arial" w:eastAsia="Arial" w:hAnsi="Arial"/>
          <w:sz w:val="24"/>
          <w:szCs w:val="24"/>
          <w:vertAlign w:val="superscript"/>
          <w:rtl w:val="0"/>
        </w:rPr>
        <w:t xml:space="preserve">4</w:t>
      </w:r>
      <w:r w:rsidDel="00000000" w:rsidR="00000000" w:rsidRPr="00000000">
        <w:rPr>
          <w:rFonts w:ascii="Arial" w:cs="Arial" w:eastAsia="Arial" w:hAnsi="Arial"/>
          <w:rtl w:val="0"/>
        </w:rPr>
        <w:t xml:space="preserve">. Delta Sharing provides open, direct data sharing across disparate platforms without requiring data replication</w:t>
      </w:r>
      <w:r w:rsidDel="00000000" w:rsidR="00000000" w:rsidRPr="00000000">
        <w:rPr>
          <w:rFonts w:ascii="Arial" w:cs="Arial" w:eastAsia="Arial" w:hAnsi="Arial"/>
          <w:sz w:val="24"/>
          <w:szCs w:val="24"/>
          <w:vertAlign w:val="superscript"/>
          <w:rtl w:val="0"/>
        </w:rPr>
        <w:t xml:space="preserve">4</w:t>
      </w:r>
      <w:r w:rsidDel="00000000" w:rsidR="00000000" w:rsidRPr="00000000">
        <w:rPr>
          <w:rFonts w:ascii="Arial" w:cs="Arial" w:eastAsia="Arial" w:hAnsi="Arial"/>
          <w:rtl w:val="0"/>
        </w:rPr>
        <w:t xml:space="preserve">. Lakehouse Federation enables push-down SQL queries against external systems—including PostgreSQL, Amazon Redshift, Snowflake, and external Hive metastores—governing access directly through Unity Catalog</w:t>
      </w:r>
      <w:r w:rsidDel="00000000" w:rsidR="00000000" w:rsidRPr="00000000">
        <w:rPr>
          <w:rFonts w:ascii="Arial" w:cs="Arial" w:eastAsia="Arial" w:hAnsi="Arial"/>
          <w:sz w:val="24"/>
          <w:szCs w:val="24"/>
          <w:vertAlign w:val="superscript"/>
          <w:rtl w:val="0"/>
        </w:rPr>
        <w:t xml:space="preserve">4</w:t>
      </w:r>
      <w:r w:rsidDel="00000000" w:rsidR="00000000" w:rsidRPr="00000000">
        <w:rPr>
          <w:rFonts w:ascii="Arial" w:cs="Arial" w:eastAsia="Arial" w:hAnsi="Arial"/>
          <w:rtl w:val="0"/>
        </w:rPr>
        <w:t xml:space="preserve">. For privacy-preserving collaborative analytics, Databricks Clean Rooms allow multiple organizations to execute joint analytics over sensitive datasets without disclosing underlying raw records</w:t>
      </w:r>
      <w:r w:rsidDel="00000000" w:rsidR="00000000" w:rsidRPr="00000000">
        <w:rPr>
          <w:rFonts w:ascii="Arial" w:cs="Arial" w:eastAsia="Arial" w:hAnsi="Arial"/>
          <w:sz w:val="24"/>
          <w:szCs w:val="24"/>
          <w:vertAlign w:val="superscript"/>
          <w:rtl w:val="0"/>
        </w:rPr>
        <w:t xml:space="preserve">4</w:t>
      </w:r>
      <w:r w:rsidDel="00000000" w:rsidR="00000000" w:rsidRPr="00000000">
        <w:rPr>
          <w:rFonts w:ascii="Arial" w:cs="Arial" w:eastAsia="Arial" w:hAnsi="Arial"/>
          <w:rtl w:val="0"/>
        </w:rPr>
        <w:t xml:space="preserve">.</w:t>
      </w:r>
    </w:p>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Enterprise Network Architecture and Egress Controls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An enterprise network architecture for Databricks must secure three primary communication vectors: inbound access, classic back-end processing, and serverless outbound egress</w:t>
      </w:r>
      <w:r w:rsidDel="00000000" w:rsidR="00000000" w:rsidRPr="00000000">
        <w:rPr>
          <w:rFonts w:ascii="Arial" w:cs="Arial" w:eastAsia="Arial" w:hAnsi="Arial"/>
          <w:sz w:val="24"/>
          <w:szCs w:val="24"/>
          <w:vertAlign w:val="superscript"/>
          <w:rtl w:val="0"/>
        </w:rPr>
        <w:t xml:space="preserve">3</w:t>
      </w:r>
      <w:r w:rsidDel="00000000" w:rsidR="00000000" w:rsidRPr="00000000">
        <w:rPr>
          <w:rFonts w:ascii="Arial" w:cs="Arial" w:eastAsia="Arial" w:hAnsi="Arial"/>
          <w:rtl w:val="0"/>
        </w:rPr>
        <w:t xml:space="preserv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w:t>
        <w:br w:type="textWrapping"/>
        <w:t xml:space="preserve">|                            ENTERPRISE NETWORK TOPOLOGY                            |</w:t>
        <w:br w:type="textWrapping"/>
        <w:t xml:space="preserve">|                                                                                   |</w:t>
        <w:br w:type="textWrapping"/>
        <w:t xml:space="preserve">| [Corporate VPN / On-Prem Network]                                                 |</w:t>
        <w:br w:type="textWrapping"/>
        <w:t xml:space="preserve">|         |                                                                         |</w:t>
        <w:br w:type="textWrapping"/>
        <w:t xml:space="preserve">|         | (Inbound Front-End PrivateLink / Transit VPC)                           |</w:t>
        <w:br w:type="textWrapping"/>
        <w:t xml:space="preserve">|         v                                                                         |</w:t>
        <w:br w:type="textWrapping"/>
        <w:t xml:space="preserve">|  +-----------------------------------------------------------------------------+  |</w:t>
        <w:br w:type="textWrapping"/>
        <w:t xml:space="preserve">|  | Databricks Web App &amp; REST APIs (Control Plane UI)                           |  |</w:t>
        <w:br w:type="textWrapping"/>
        <w:t xml:space="preserve">|  +-----------------------------------------------------------------------------+  |</w:t>
        <w:br w:type="textWrapping"/>
        <w:t xml:space="preserve">|         |                                                                         |</w:t>
        <w:br w:type="textWrapping"/>
        <w:t xml:space="preserve">|         | (Classic Back-End Connectivity: SCC / PrivateLink)                      |</w:t>
        <w:br w:type="textWrapping"/>
        <w:t xml:space="preserve">|         v                                                                         |</w:t>
        <w:br w:type="textWrapping"/>
        <w:t xml:space="preserve">|  +-----------------------------------------------------------------------------+  |</w:t>
        <w:br w:type="textWrapping"/>
        <w:t xml:space="preserve">|  | Customer VPC / Subscription (Classic Compute Plane)                         |  |</w:t>
        <w:br w:type="textWrapping"/>
        <w:t xml:space="preserve">|  |                                                                             |  |</w:t>
        <w:br w:type="textWrapping"/>
        <w:t xml:space="preserve">|  |  +--------------------------+          +---------------------------------+  |  |</w:t>
        <w:br w:type="textWrapping"/>
        <w:t xml:space="preserve">|  |  | Private Container Subnet |          | Private Host Subnet             |  |  |</w:t>
        <w:br w:type="textWrapping"/>
        <w:t xml:space="preserve">|  |  | (Spark Driver / Exec)    |          | (Cluster Nodes)                 |  |  |</w:t>
        <w:br w:type="textWrapping"/>
        <w:t xml:space="preserve">|  |  +--------------------------+          +---------------------------------+  |  |</w:t>
        <w:br w:type="textWrapping"/>
        <w:t xml:space="preserve">|  |               |                                         |                   |  |</w:t>
        <w:br w:type="textWrapping"/>
        <w:t xml:space="preserve">|  |               +--------------------+--------------------+                   |  |</w:t>
        <w:br w:type="textWrapping"/>
        <w:t xml:space="preserve">|  |                                    |                                        |  |</w:t>
        <w:br w:type="textWrapping"/>
        <w:t xml:space="preserve">|  |                                    v                                        |  |</w:t>
        <w:br w:type="textWrapping"/>
        <w:t xml:space="preserve">|  |                      [Outbound Egress Firewall / NAT]                       |  |</w:t>
        <w:br w:type="textWrapping"/>
        <w:t xml:space="preserve">|  +-----------------------------------------------------------------------------+  |</w:t>
        <w:br w:type="textWrapping"/>
        <w:t xml:space="preserve">|                                       |                                           |</w:t>
        <w:br w:type="textWrapping"/>
        <w:t xml:space="preserve">|                                       v                                           |</w:t>
        <w:br w:type="textWrapping"/>
        <w:t xml:space="preserve">|  +-----------------------------------------------------------------------------+  |</w:t>
        <w:br w:type="textWrapping"/>
        <w:t xml:space="preserve">|  | Customer Data Storage (S3 / ADLS / Databases)                               |  |</w:t>
        <w:br w:type="textWrapping"/>
        <w:t xml:space="preserve">|  +-----------------------------------------------------------------------------+  |</w:t>
        <w:br w:type="textWrapping"/>
        <w:t xml:space="preserve">|                                       ^                                           |</w:t>
        <w:br w:type="textWrapping"/>
        <w:t xml:space="preserve">|                                       | (Outbound Serverless Egress via NCC)      |</w:t>
        <w:br w:type="textWrapping"/>
        <w:t xml:space="preserve">|  +-----------------------------------------------------------------------------+  |</w:t>
        <w:br w:type="textWrapping"/>
        <w:t xml:space="preserve">|  | Databricks Serverless Compute Plane (Databricks Managed Cloud)               |  |</w:t>
        <w:br w:type="textWrapping"/>
        <w:t xml:space="preserve">|  |  - Network Connectivity Configuration (NCC) Private Endpoint Rules           |  |</w:t>
        <w:br w:type="textWrapping"/>
        <w:t xml:space="preserve">|  +-----------------------------------------------------------------------------+  |</w:t>
        <w:br w:type="textWrapping"/>
        <w:t xml:space="preserve">+-----------------------------------------------------------------------------------+</w:t>
        <w:br w:type="textWrapping"/>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Inbound user access to the Databricks Web Application, REST APIs, and Databricks Connect is controlled using IP Access Control Lists and inbound Private Link endpoints</w:t>
      </w:r>
      <w:r w:rsidDel="00000000" w:rsidR="00000000" w:rsidRPr="00000000">
        <w:rPr>
          <w:rFonts w:ascii="Arial" w:cs="Arial" w:eastAsia="Arial" w:hAnsi="Arial"/>
          <w:sz w:val="24"/>
          <w:szCs w:val="24"/>
          <w:vertAlign w:val="superscript"/>
          <w:rtl w:val="0"/>
        </w:rPr>
        <w:t xml:space="preserve">3</w:t>
      </w:r>
      <w:r w:rsidDel="00000000" w:rsidR="00000000" w:rsidRPr="00000000">
        <w:rPr>
          <w:rFonts w:ascii="Arial" w:cs="Arial" w:eastAsia="Arial" w:hAnsi="Arial"/>
          <w:rtl w:val="0"/>
        </w:rPr>
        <w:t xml:space="preserve">. Inbound Private Link connections are hosted within a dedicated Transit VPC/VNet, ensuring that developer traffic remains on private corporate networks without traversing the public internet</w:t>
      </w:r>
      <w:r w:rsidDel="00000000" w:rsidR="00000000" w:rsidRPr="00000000">
        <w:rPr>
          <w:rFonts w:ascii="Arial" w:cs="Arial" w:eastAsia="Arial" w:hAnsi="Arial"/>
          <w:sz w:val="24"/>
          <w:szCs w:val="24"/>
          <w:vertAlign w:val="superscript"/>
          <w:rtl w:val="0"/>
        </w:rPr>
        <w:t xml:space="preserve">3</w:t>
      </w:r>
      <w:r w:rsidDel="00000000" w:rsidR="00000000" w:rsidRPr="00000000">
        <w:rPr>
          <w:rFonts w:ascii="Arial" w:cs="Arial" w:eastAsia="Arial" w:hAnsi="Arial"/>
          <w:rtl w:val="0"/>
        </w:rPr>
        <w:t xml:space="preserv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Classic compute plane networking requires customer-managed VPC/VNet injection</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The network design provisions two dedicated subnets per workspace: a container subnet for runtime containers and a host subnet for virtual machine interfaces</w:t>
      </w:r>
      <w:r w:rsidDel="00000000" w:rsidR="00000000" w:rsidRPr="00000000">
        <w:rPr>
          <w:rFonts w:ascii="Arial" w:cs="Arial" w:eastAsia="Arial" w:hAnsi="Arial"/>
          <w:sz w:val="24"/>
          <w:szCs w:val="24"/>
          <w:vertAlign w:val="superscript"/>
          <w:rtl w:val="0"/>
        </w:rPr>
        <w:t xml:space="preserve">9</w:t>
      </w:r>
      <w:r w:rsidDel="00000000" w:rsidR="00000000" w:rsidRPr="00000000">
        <w:rPr>
          <w:rFonts w:ascii="Arial" w:cs="Arial" w:eastAsia="Arial" w:hAnsi="Arial"/>
          <w:rtl w:val="0"/>
        </w:rPr>
        <w:t xml:space="preserve">. Public IP addresses on cluster nodes are disabled by enforcing Secure Cluster Connectivity</w:t>
      </w:r>
      <w:r w:rsidDel="00000000" w:rsidR="00000000" w:rsidRPr="00000000">
        <w:rPr>
          <w:rFonts w:ascii="Arial" w:cs="Arial" w:eastAsia="Arial" w:hAnsi="Arial"/>
          <w:sz w:val="24"/>
          <w:szCs w:val="24"/>
          <w:vertAlign w:val="superscript"/>
          <w:rtl w:val="0"/>
        </w:rPr>
        <w:t xml:space="preserve">3</w:t>
      </w:r>
      <w:r w:rsidDel="00000000" w:rsidR="00000000" w:rsidRPr="00000000">
        <w:rPr>
          <w:rFonts w:ascii="Arial" w:cs="Arial" w:eastAsia="Arial" w:hAnsi="Arial"/>
          <w:rtl w:val="0"/>
        </w:rPr>
        <w:t xml:space="preserve">. Outbound internet traffic generated by classic clusters—such as external package downloads or API calls—is routed through custom route tables to customer-managed NAT Gateways or outbound network firewalls for inspection</w:t>
      </w:r>
      <w:r w:rsidDel="00000000" w:rsidR="00000000" w:rsidRPr="00000000">
        <w:rPr>
          <w:rFonts w:ascii="Arial" w:cs="Arial" w:eastAsia="Arial" w:hAnsi="Arial"/>
          <w:sz w:val="24"/>
          <w:szCs w:val="24"/>
          <w:vertAlign w:val="superscript"/>
          <w:rtl w:val="0"/>
        </w:rPr>
        <w:t xml:space="preserve">3</w:t>
      </w:r>
      <w:r w:rsidDel="00000000" w:rsidR="00000000" w:rsidRPr="00000000">
        <w:rPr>
          <w:rFonts w:ascii="Arial" w:cs="Arial" w:eastAsia="Arial" w:hAnsi="Arial"/>
          <w:rtl w:val="0"/>
        </w:rPr>
        <w:t xml:space="preserv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Serverless compute workloads execute within Databricks-managed cloud accounts, which prevents direct placement inside customer VPCs/VNets</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To control serverless network communication, administrators deploy account-level Network Connectivity Configurations</w:t>
      </w:r>
      <w:r w:rsidDel="00000000" w:rsidR="00000000" w:rsidRPr="00000000">
        <w:rPr>
          <w:rFonts w:ascii="Arial" w:cs="Arial" w:eastAsia="Arial" w:hAnsi="Arial"/>
          <w:sz w:val="24"/>
          <w:szCs w:val="24"/>
          <w:vertAlign w:val="superscript"/>
          <w:rtl w:val="0"/>
        </w:rPr>
        <w:t xml:space="preserve">3</w:t>
      </w:r>
      <w:r w:rsidDel="00000000" w:rsidR="00000000" w:rsidRPr="00000000">
        <w:rPr>
          <w:rFonts w:ascii="Arial" w:cs="Arial" w:eastAsia="Arial" w:hAnsi="Arial"/>
          <w:rtl w:val="0"/>
        </w:rPr>
        <w:t xml:space="preserve">. An NCC functions as a regional networking construct attached to workspaces within the same region</w:t>
      </w:r>
      <w:r w:rsidDel="00000000" w:rsidR="00000000" w:rsidRPr="00000000">
        <w:rPr>
          <w:rFonts w:ascii="Arial" w:cs="Arial" w:eastAsia="Arial" w:hAnsi="Arial"/>
          <w:sz w:val="24"/>
          <w:szCs w:val="24"/>
          <w:vertAlign w:val="superscript"/>
          <w:rtl w:val="0"/>
        </w:rPr>
        <w:t xml:space="preserve">10</w:t>
      </w:r>
      <w:r w:rsidDel="00000000" w:rsidR="00000000" w:rsidRPr="00000000">
        <w:rPr>
          <w:rFonts w:ascii="Arial" w:cs="Arial" w:eastAsia="Arial" w:hAnsi="Arial"/>
          <w:rtl w:val="0"/>
        </w:rPr>
        <w:t xml:space="preserve">. Outbound access from serverless compute to customer resources is established by defining Private Endpoint rules within the NCC</w:t>
      </w:r>
      <w:r w:rsidDel="00000000" w:rsidR="00000000" w:rsidRPr="00000000">
        <w:rPr>
          <w:rFonts w:ascii="Arial" w:cs="Arial" w:eastAsia="Arial" w:hAnsi="Arial"/>
          <w:sz w:val="24"/>
          <w:szCs w:val="24"/>
          <w:vertAlign w:val="superscript"/>
          <w:rtl w:val="0"/>
        </w:rPr>
        <w:t xml:space="preserve">10</w:t>
      </w:r>
      <w:r w:rsidDel="00000000" w:rsidR="00000000" w:rsidRPr="00000000">
        <w:rPr>
          <w:rFonts w:ascii="Arial" w:cs="Arial" w:eastAsia="Arial" w:hAnsi="Arial"/>
          <w:rtl w:val="0"/>
        </w:rPr>
        <w:t xml:space="preserve">:</w:t>
      </w:r>
    </w:p>
    <w:p w:rsidR="00000000" w:rsidDel="00000000" w:rsidP="00000000" w:rsidRDefault="00000000" w:rsidRPr="00000000" w14:paraId="00000062">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Configuration:</w:t>
      </w:r>
      <w:r w:rsidDel="00000000" w:rsidR="00000000" w:rsidRPr="00000000">
        <w:rPr>
          <w:rFonts w:ascii="Arial" w:cs="Arial" w:eastAsia="Arial" w:hAnsi="Arial"/>
          <w:rtl w:val="0"/>
        </w:rPr>
        <w:t xml:space="preserve"> An account administrator creates an NCC object for a specific region and attaches it to up to 50 regional workspaces</w:t>
      </w:r>
      <w:r w:rsidDel="00000000" w:rsidR="00000000" w:rsidRPr="00000000">
        <w:rPr>
          <w:rFonts w:ascii="Arial" w:cs="Arial" w:eastAsia="Arial" w:hAnsi="Arial"/>
          <w:sz w:val="24"/>
          <w:szCs w:val="24"/>
          <w:vertAlign w:val="superscript"/>
          <w:rtl w:val="0"/>
        </w:rPr>
        <w:t xml:space="preserve">10</w:t>
      </w:r>
      <w:r w:rsidDel="00000000" w:rsidR="00000000" w:rsidRPr="00000000">
        <w:rPr>
          <w:rFonts w:ascii="Arial" w:cs="Arial" w:eastAsia="Arial" w:hAnsi="Arial"/>
          <w:rtl w:val="0"/>
        </w:rPr>
        <w:t xml:space="preserve">.</w:t>
      </w:r>
    </w:p>
    <w:p w:rsidR="00000000" w:rsidDel="00000000" w:rsidP="00000000" w:rsidRDefault="00000000" w:rsidRPr="00000000" w14:paraId="00000063">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Rule Definition:</w:t>
      </w:r>
      <w:r w:rsidDel="00000000" w:rsidR="00000000" w:rsidRPr="00000000">
        <w:rPr>
          <w:rFonts w:ascii="Arial" w:cs="Arial" w:eastAsia="Arial" w:hAnsi="Arial"/>
          <w:rtl w:val="0"/>
        </w:rPr>
        <w:t xml:space="preserve"> Private endpoint rules are added to the NCC, referencing destination resource IDs such as Azure ADLS Gen2 storage accounts, AWS S3 buckets, or relational databases</w:t>
      </w:r>
      <w:r w:rsidDel="00000000" w:rsidR="00000000" w:rsidRPr="00000000">
        <w:rPr>
          <w:rFonts w:ascii="Arial" w:cs="Arial" w:eastAsia="Arial" w:hAnsi="Arial"/>
          <w:sz w:val="24"/>
          <w:szCs w:val="24"/>
          <w:vertAlign w:val="superscript"/>
          <w:rtl w:val="0"/>
        </w:rPr>
        <w:t xml:space="preserve">10</w:t>
      </w:r>
      <w:r w:rsidDel="00000000" w:rsidR="00000000" w:rsidRPr="00000000">
        <w:rPr>
          <w:rFonts w:ascii="Arial" w:cs="Arial" w:eastAsia="Arial" w:hAnsi="Arial"/>
          <w:rtl w:val="0"/>
        </w:rPr>
        <w:t xml:space="preserve">.</w:t>
      </w:r>
    </w:p>
    <w:p w:rsidR="00000000" w:rsidDel="00000000" w:rsidP="00000000" w:rsidRDefault="00000000" w:rsidRPr="00000000" w14:paraId="00000064">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Approval Lifecycle:</w:t>
      </w:r>
      <w:r w:rsidDel="00000000" w:rsidR="00000000" w:rsidRPr="00000000">
        <w:rPr>
          <w:rFonts w:ascii="Arial" w:cs="Arial" w:eastAsia="Arial" w:hAnsi="Arial"/>
          <w:rtl w:val="0"/>
        </w:rPr>
        <w:t xml:space="preserve"> The rule generates a pending private endpoint request on the target cloud resource</w:t>
      </w:r>
      <w:r w:rsidDel="00000000" w:rsidR="00000000" w:rsidRPr="00000000">
        <w:rPr>
          <w:rFonts w:ascii="Arial" w:cs="Arial" w:eastAsia="Arial" w:hAnsi="Arial"/>
          <w:sz w:val="24"/>
          <w:szCs w:val="24"/>
          <w:vertAlign w:val="superscript"/>
          <w:rtl w:val="0"/>
        </w:rPr>
        <w:t xml:space="preserve">14</w:t>
      </w:r>
      <w:r w:rsidDel="00000000" w:rsidR="00000000" w:rsidRPr="00000000">
        <w:rPr>
          <w:rFonts w:ascii="Arial" w:cs="Arial" w:eastAsia="Arial" w:hAnsi="Arial"/>
          <w:rtl w:val="0"/>
        </w:rPr>
        <w:t xml:space="preserve">. A cloud infrastructure administrator approves the connection request within the native cloud management console, transitioning the status to established</w:t>
      </w:r>
      <w:r w:rsidDel="00000000" w:rsidR="00000000" w:rsidRPr="00000000">
        <w:rPr>
          <w:rFonts w:ascii="Arial" w:cs="Arial" w:eastAsia="Arial" w:hAnsi="Arial"/>
          <w:sz w:val="24"/>
          <w:szCs w:val="24"/>
          <w:vertAlign w:val="superscript"/>
          <w:rtl w:val="0"/>
        </w:rPr>
        <w:t xml:space="preserve">12</w:t>
      </w:r>
      <w:r w:rsidDel="00000000" w:rsidR="00000000" w:rsidRPr="00000000">
        <w:rPr>
          <w:rFonts w:ascii="Arial" w:cs="Arial" w:eastAsia="Arial" w:hAnsi="Arial"/>
          <w:rtl w:val="0"/>
        </w:rPr>
        <w:t xml:space="preserve">.</w:t>
      </w:r>
    </w:p>
    <w:p w:rsidR="00000000" w:rsidDel="00000000" w:rsidP="00000000" w:rsidRDefault="00000000" w:rsidRPr="00000000" w14:paraId="00000065">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Domain Filtering:</w:t>
      </w:r>
      <w:r w:rsidDel="00000000" w:rsidR="00000000" w:rsidRPr="00000000">
        <w:rPr>
          <w:rFonts w:ascii="Arial" w:cs="Arial" w:eastAsia="Arial" w:hAnsi="Arial"/>
          <w:rtl w:val="0"/>
        </w:rPr>
        <w:t xml:space="preserve"> For traffic routed through load balancers to internal assets, custom fully qualified domain names are mapped explicitly within the NCC rule to restrict egress targets</w:t>
      </w:r>
      <w:r w:rsidDel="00000000" w:rsidR="00000000" w:rsidRPr="00000000">
        <w:rPr>
          <w:rFonts w:ascii="Arial" w:cs="Arial" w:eastAsia="Arial" w:hAnsi="Arial"/>
          <w:sz w:val="24"/>
          <w:szCs w:val="24"/>
          <w:vertAlign w:val="superscript"/>
          <w:rtl w:val="0"/>
        </w:rPr>
        <w:t xml:space="preserve">12</w:t>
      </w:r>
      <w:r w:rsidDel="00000000" w:rsidR="00000000" w:rsidRPr="00000000">
        <w:rPr>
          <w:rFonts w:ascii="Arial" w:cs="Arial" w:eastAsia="Arial" w:hAnsi="Arial"/>
          <w:rtl w:val="0"/>
        </w:rPr>
        <w:t xml:space="preserv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Network Parameter / Feature Constraint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AWS Architecture Limit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Azure Architecture Limit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GCP Architecture Limit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Max Workspaces per Account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50 (Premium), 2000 (Enterprise Serverless)</w:t>
            </w:r>
            <w:r w:rsidDel="00000000" w:rsidR="00000000" w:rsidRPr="00000000">
              <w:rPr>
                <w:rFonts w:ascii="Arial" w:cs="Arial" w:eastAsia="Arial" w:hAnsi="Arial"/>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Regional Subscription Quota</w:t>
            </w:r>
            <w:r w:rsidDel="00000000" w:rsidR="00000000" w:rsidRPr="00000000">
              <w:rPr>
                <w:rFonts w:ascii="Arial" w:cs="Arial" w:eastAsia="Arial" w:hAnsi="Arial"/>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Cloud Project / Region Quotas</w:t>
            </w:r>
            <w:r w:rsidDel="00000000" w:rsidR="00000000" w:rsidRPr="00000000">
              <w:rPr>
                <w:rFonts w:ascii="Arial" w:cs="Arial" w:eastAsia="Arial" w:hAnsi="Arial"/>
                <w:sz w:val="24"/>
                <w:szCs w:val="24"/>
                <w:vertAlign w:val="superscript"/>
                <w:rtl w:val="0"/>
              </w:rPr>
              <w:t xml:space="preserve">11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Max NCCs per Account Region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10 NCCs</w:t>
            </w:r>
            <w:r w:rsidDel="00000000" w:rsidR="00000000" w:rsidRPr="00000000">
              <w:rPr>
                <w:rFonts w:ascii="Arial" w:cs="Arial" w:eastAsia="Arial" w:hAnsi="Arial"/>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10 NCCs</w:t>
            </w:r>
            <w:r w:rsidDel="00000000" w:rsidR="00000000" w:rsidRPr="00000000">
              <w:rPr>
                <w:rFonts w:ascii="Arial" w:cs="Arial" w:eastAsia="Arial" w:hAnsi="Arial"/>
                <w:sz w:val="24"/>
                <w:szCs w:val="24"/>
                <w:vertAlign w:val="superscript"/>
                <w:rtl w:val="0"/>
              </w:rPr>
              <w:t xml:space="preserve">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10 NCCs</w:t>
            </w:r>
            <w:r w:rsidDel="00000000" w:rsidR="00000000" w:rsidRPr="00000000">
              <w:rPr>
                <w:rFonts w:ascii="Arial" w:cs="Arial" w:eastAsia="Arial" w:hAnsi="Arial"/>
                <w:sz w:val="24"/>
                <w:szCs w:val="24"/>
                <w:vertAlign w:val="superscript"/>
                <w:rtl w:val="0"/>
              </w:rPr>
              <w:t xml:space="preserve">11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Max Workspace Attachments per NCC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50 Workspaces</w:t>
            </w:r>
            <w:r w:rsidDel="00000000" w:rsidR="00000000" w:rsidRPr="00000000">
              <w:rPr>
                <w:rFonts w:ascii="Arial" w:cs="Arial" w:eastAsia="Arial" w:hAnsi="Arial"/>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50 Workspaces</w:t>
            </w:r>
            <w:r w:rsidDel="00000000" w:rsidR="00000000" w:rsidRPr="00000000">
              <w:rPr>
                <w:rFonts w:ascii="Arial" w:cs="Arial" w:eastAsia="Arial" w:hAnsi="Arial"/>
                <w:sz w:val="24"/>
                <w:szCs w:val="24"/>
                <w:vertAlign w:val="superscript"/>
                <w:rtl w:val="0"/>
              </w:rPr>
              <w:t xml:space="preserve">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50 Workspaces</w:t>
            </w:r>
            <w:r w:rsidDel="00000000" w:rsidR="00000000" w:rsidRPr="00000000">
              <w:rPr>
                <w:rFonts w:ascii="Arial" w:cs="Arial" w:eastAsia="Arial" w:hAnsi="Arial"/>
                <w:sz w:val="24"/>
                <w:szCs w:val="24"/>
                <w:vertAlign w:val="superscript"/>
                <w:rtl w:val="0"/>
              </w:rPr>
              <w:t xml:space="preserve">11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Max Private Endpoints per Region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100 VPC / 30 S3 Endpoints</w:t>
            </w:r>
            <w:r w:rsidDel="00000000" w:rsidR="00000000" w:rsidRPr="00000000">
              <w:rPr>
                <w:rFonts w:ascii="Arial" w:cs="Arial" w:eastAsia="Arial" w:hAnsi="Arial"/>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100 Private Endpoints</w:t>
            </w:r>
            <w:r w:rsidDel="00000000" w:rsidR="00000000" w:rsidRPr="00000000">
              <w:rPr>
                <w:rFonts w:ascii="Arial" w:cs="Arial" w:eastAsia="Arial" w:hAnsi="Arial"/>
                <w:sz w:val="24"/>
                <w:szCs w:val="24"/>
                <w:vertAlign w:val="superscript"/>
                <w:rtl w:val="0"/>
              </w:rPr>
              <w:t xml:space="preserve">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Regional Service Limits</w:t>
            </w:r>
            <w:r w:rsidDel="00000000" w:rsidR="00000000" w:rsidRPr="00000000">
              <w:rPr>
                <w:rFonts w:ascii="Arial" w:cs="Arial" w:eastAsia="Arial" w:hAnsi="Arial"/>
                <w:sz w:val="24"/>
                <w:szCs w:val="24"/>
                <w:vertAlign w:val="superscript"/>
                <w:rtl w:val="0"/>
              </w:rPr>
              <w:t xml:space="preserve">11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Back-End Isolation Mechanism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Secure Cluster Connectivity + VPC Endpoints</w:t>
            </w:r>
            <w:r w:rsidDel="00000000" w:rsidR="00000000" w:rsidRPr="00000000">
              <w:rPr>
                <w:rFonts w:ascii="Arial" w:cs="Arial" w:eastAsia="Arial" w:hAnsi="Arial"/>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Secure Cluster Connectivity + Private Link</w:t>
            </w:r>
            <w:r w:rsidDel="00000000" w:rsidR="00000000" w:rsidRPr="00000000">
              <w:rPr>
                <w:rFonts w:ascii="Arial" w:cs="Arial" w:eastAsia="Arial" w:hAnsi="Arial"/>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Secure Cluster Connectivity + PSC</w:t>
            </w:r>
            <w:r w:rsidDel="00000000" w:rsidR="00000000" w:rsidRPr="00000000">
              <w:rPr>
                <w:rFonts w:ascii="Arial" w:cs="Arial" w:eastAsia="Arial" w:hAnsi="Arial"/>
                <w:sz w:val="24"/>
                <w:szCs w:val="24"/>
                <w:vertAlign w:val="superscript"/>
                <w:rtl w:val="0"/>
              </w:rPr>
              <w:t xml:space="preserve">11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Serverless Egress Mechanism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Account NCC + AWS PrivateLink</w:t>
            </w:r>
            <w:r w:rsidDel="00000000" w:rsidR="00000000" w:rsidRPr="00000000">
              <w:rPr>
                <w:rFonts w:ascii="Arial" w:cs="Arial" w:eastAsia="Arial" w:hAnsi="Arial"/>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Account NCC + Azure Private Endpoint</w:t>
            </w:r>
            <w:r w:rsidDel="00000000" w:rsidR="00000000" w:rsidRPr="00000000">
              <w:rPr>
                <w:rFonts w:ascii="Arial" w:cs="Arial" w:eastAsia="Arial" w:hAnsi="Arial"/>
                <w:sz w:val="24"/>
                <w:szCs w:val="24"/>
                <w:vertAlign w:val="superscript"/>
                <w:rtl w:val="0"/>
              </w:rPr>
              <w:t xml:space="preserve">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Account NCC + GCP PSC Attachment</w:t>
            </w:r>
            <w:r w:rsidDel="00000000" w:rsidR="00000000" w:rsidRPr="00000000">
              <w:rPr>
                <w:rFonts w:ascii="Arial" w:cs="Arial" w:eastAsia="Arial" w:hAnsi="Arial"/>
                <w:sz w:val="24"/>
                <w:szCs w:val="24"/>
                <w:vertAlign w:val="superscript"/>
                <w:rtl w:val="0"/>
              </w:rPr>
              <w:t xml:space="preserve">11</w:t>
            </w:r>
          </w:p>
        </w:tc>
      </w:tr>
    </w:tbl>
    <w:p w:rsidR="00000000" w:rsidDel="00000000" w:rsidP="00000000" w:rsidRDefault="00000000" w:rsidRPr="00000000" w14:paraId="00000083">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Operationalization, FinOps, and Deployment Strategy</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Managing an enterprise Databricks footprint requires automated resource provision, operational tracking, and strict naming conventions</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Workspace names should be standardized using a structured format that encodes organizational context</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Names should remain under 50 characters, contain lowercase alphanumeric characters and hyphens, and incorporate business domain, environment tier, cloud region, and deployment index</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Pr>
        <w:drawing>
          <wp:inline distB="19050" distT="19050" distL="19050" distR="19050">
            <wp:extent cx="5905500" cy="48208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05500" cy="482082"/>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Examples include dbx-core-prod-useast1-01 for a central production workspace and dbx-finance-dev-euwest1-01 for a regional financial development workspace</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Financial Operations (FinOps) relies on platform System Tables, located within the account-level system catalog</w:t>
      </w:r>
      <w:r w:rsidDel="00000000" w:rsidR="00000000" w:rsidRPr="00000000">
        <w:rPr>
          <w:rFonts w:ascii="Arial" w:cs="Arial" w:eastAsia="Arial" w:hAnsi="Arial"/>
          <w:sz w:val="24"/>
          <w:szCs w:val="24"/>
          <w:vertAlign w:val="superscript"/>
          <w:rtl w:val="0"/>
        </w:rPr>
        <w:t xml:space="preserve">8</w:t>
      </w:r>
      <w:r w:rsidDel="00000000" w:rsidR="00000000" w:rsidRPr="00000000">
        <w:rPr>
          <w:rFonts w:ascii="Arial" w:cs="Arial" w:eastAsia="Arial" w:hAnsi="Arial"/>
          <w:rtl w:val="0"/>
        </w:rPr>
        <w:t xml:space="preserve">. Cost attribution and consumption tracking are implemented by querying the system.billing.usage table, which logs Databricks Unit usage across workspaces, compute SKUs, and execution tags</w:t>
      </w:r>
      <w:r w:rsidDel="00000000" w:rsidR="00000000" w:rsidRPr="00000000">
        <w:rPr>
          <w:rFonts w:ascii="Arial" w:cs="Arial" w:eastAsia="Arial" w:hAnsi="Arial"/>
          <w:sz w:val="24"/>
          <w:szCs w:val="24"/>
          <w:vertAlign w:val="superscript"/>
          <w:rtl w:val="0"/>
        </w:rPr>
        <w:t xml:space="preserve">8</w:t>
      </w:r>
      <w:r w:rsidDel="00000000" w:rsidR="00000000" w:rsidRPr="00000000">
        <w:rPr>
          <w:rFonts w:ascii="Arial" w:cs="Arial" w:eastAsia="Arial" w:hAnsi="Arial"/>
          <w:rtl w:val="0"/>
        </w:rPr>
        <w:t xml:space="preserve">.</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Platform administrators enforce cluster policies requiring standardized resource tags—such as CostCenter, Owner, and Project—on all classic compute clusters, serverless SQL warehouses, and automated job workflows</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Combining mandatory compute tags with automated system table queries enables detailed cost allocation and budget monitoring across business units</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w:t>
      </w:r>
    </w:p>
    <w:p w:rsidR="00000000" w:rsidDel="00000000" w:rsidP="00000000" w:rsidRDefault="00000000" w:rsidRPr="00000000" w14:paraId="0000008A">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Architectural Synthesis and Strategic Implementation Roadmap</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To successfully deploy an enterprise Databricks Lakehouse architecture, organizations should execute a structured implementation roadmap based on the following key operational phases:</w:t>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Phase 1: Account Foundation and Identity Synchronization</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Establish the account administrative boundary by configuring Single Sign-On and SCIM identity provisioning from the enterprise Identity Provider</w:t>
      </w:r>
      <w:r w:rsidDel="00000000" w:rsidR="00000000" w:rsidRPr="00000000">
        <w:rPr>
          <w:rFonts w:ascii="Arial" w:cs="Arial" w:eastAsia="Arial" w:hAnsi="Arial"/>
          <w:sz w:val="24"/>
          <w:szCs w:val="24"/>
          <w:vertAlign w:val="superscript"/>
          <w:rtl w:val="0"/>
        </w:rPr>
        <w:t xml:space="preserve">5</w:t>
      </w:r>
      <w:r w:rsidDel="00000000" w:rsidR="00000000" w:rsidRPr="00000000">
        <w:rPr>
          <w:rFonts w:ascii="Arial" w:cs="Arial" w:eastAsia="Arial" w:hAnsi="Arial"/>
          <w:rtl w:val="0"/>
        </w:rPr>
        <w:t xml:space="preserve">. Deploy a single Unity Catalog metastore per operating region and define account-level IP Access Control Lists to establish global security controls</w:t>
      </w:r>
      <w:r w:rsidDel="00000000" w:rsidR="00000000" w:rsidRPr="00000000">
        <w:rPr>
          <w:rFonts w:ascii="Arial" w:cs="Arial" w:eastAsia="Arial" w:hAnsi="Arial"/>
          <w:sz w:val="24"/>
          <w:szCs w:val="24"/>
          <w:vertAlign w:val="superscript"/>
          <w:rtl w:val="0"/>
        </w:rPr>
        <w:t xml:space="preserve">3</w:t>
      </w:r>
      <w:r w:rsidDel="00000000" w:rsidR="00000000" w:rsidRPr="00000000">
        <w:rPr>
          <w:rFonts w:ascii="Arial" w:cs="Arial" w:eastAsia="Arial" w:hAnsi="Arial"/>
          <w:rtl w:val="0"/>
        </w:rPr>
        <w:t xml:space="preserve">.</w:t>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Phase 2: Core Network Infrastructure and VPC Provisioning</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Provision customer-managed VPCs/VNets across development, staging, and production cloud landing zones</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Allocate dedicated container and host subnets for classic compute plane injection, ensuring Secure Cluster Connectivity is enabled to eliminate public IP addresses</w:t>
      </w:r>
      <w:r w:rsidDel="00000000" w:rsidR="00000000" w:rsidRPr="00000000">
        <w:rPr>
          <w:rFonts w:ascii="Arial" w:cs="Arial" w:eastAsia="Arial" w:hAnsi="Arial"/>
          <w:sz w:val="24"/>
          <w:szCs w:val="24"/>
          <w:vertAlign w:val="superscript"/>
          <w:rtl w:val="0"/>
        </w:rPr>
        <w:t xml:space="preserve">3</w:t>
      </w:r>
      <w:r w:rsidDel="00000000" w:rsidR="00000000" w:rsidRPr="00000000">
        <w:rPr>
          <w:rFonts w:ascii="Arial" w:cs="Arial" w:eastAsia="Arial" w:hAnsi="Arial"/>
          <w:rtl w:val="0"/>
        </w:rPr>
        <w:t xml:space="preserve">. Configure NAT Gateways and network security firewalls to inspect outbound traffic</w:t>
      </w:r>
      <w:r w:rsidDel="00000000" w:rsidR="00000000" w:rsidRPr="00000000">
        <w:rPr>
          <w:rFonts w:ascii="Arial" w:cs="Arial" w:eastAsia="Arial" w:hAnsi="Arial"/>
          <w:sz w:val="24"/>
          <w:szCs w:val="24"/>
          <w:vertAlign w:val="superscript"/>
          <w:rtl w:val="0"/>
        </w:rPr>
        <w:t xml:space="preserve">3</w:t>
      </w:r>
      <w:r w:rsidDel="00000000" w:rsidR="00000000" w:rsidRPr="00000000">
        <w:rPr>
          <w:rFonts w:ascii="Arial" w:cs="Arial" w:eastAsia="Arial" w:hAnsi="Arial"/>
          <w:rtl w:val="0"/>
        </w:rPr>
        <w:t xml:space="preserve">.</w:t>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Phase 3: Workspace Deployment and Binding</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Deploy workspaces using Infrastructure-as-Code tooling, adhering to the recommended hybrid topology</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Create isolated development workspaces for business units alongside central Staging and Production workspaces</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Attach all regional workspaces to the central Unity Catalog metastore and apply catalog bindings to restrict access across environment boundaries</w:t>
      </w:r>
      <w:r w:rsidDel="00000000" w:rsidR="00000000" w:rsidRPr="00000000">
        <w:rPr>
          <w:rFonts w:ascii="Arial" w:cs="Arial" w:eastAsia="Arial" w:hAnsi="Arial"/>
          <w:sz w:val="24"/>
          <w:szCs w:val="24"/>
          <w:vertAlign w:val="superscript"/>
          <w:rtl w:val="0"/>
        </w:rPr>
        <w:t xml:space="preserve">5</w:t>
      </w:r>
      <w:r w:rsidDel="00000000" w:rsidR="00000000" w:rsidRPr="00000000">
        <w:rPr>
          <w:rFonts w:ascii="Arial" w:cs="Arial" w:eastAsia="Arial" w:hAnsi="Arial"/>
          <w:rtl w:val="0"/>
        </w:rPr>
        <w:t xml:space="preserve">.</w:t>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Phase 4: Serverless Egress and Security Configuration</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Create regional Network Connectivity Configurations at the account level and attach them to deployed workspaces</w:t>
      </w:r>
      <w:r w:rsidDel="00000000" w:rsidR="00000000" w:rsidRPr="00000000">
        <w:rPr>
          <w:rFonts w:ascii="Arial" w:cs="Arial" w:eastAsia="Arial" w:hAnsi="Arial"/>
          <w:sz w:val="24"/>
          <w:szCs w:val="24"/>
          <w:vertAlign w:val="superscript"/>
          <w:rtl w:val="0"/>
        </w:rPr>
        <w:t xml:space="preserve">10</w:t>
      </w:r>
      <w:r w:rsidDel="00000000" w:rsidR="00000000" w:rsidRPr="00000000">
        <w:rPr>
          <w:rFonts w:ascii="Arial" w:cs="Arial" w:eastAsia="Arial" w:hAnsi="Arial"/>
          <w:rtl w:val="0"/>
        </w:rPr>
        <w:t xml:space="preserve">. Define private endpoint rules within the NCCs for target storage accounts and enterprise databases, obtaining approval from cloud network administrators to secure serverless egress traffic</w:t>
      </w:r>
      <w:r w:rsidDel="00000000" w:rsidR="00000000" w:rsidRPr="00000000">
        <w:rPr>
          <w:rFonts w:ascii="Arial" w:cs="Arial" w:eastAsia="Arial" w:hAnsi="Arial"/>
          <w:sz w:val="24"/>
          <w:szCs w:val="24"/>
          <w:vertAlign w:val="superscript"/>
          <w:rtl w:val="0"/>
        </w:rPr>
        <w:t xml:space="preserve">10</w:t>
      </w:r>
      <w:r w:rsidDel="00000000" w:rsidR="00000000" w:rsidRPr="00000000">
        <w:rPr>
          <w:rFonts w:ascii="Arial" w:cs="Arial" w:eastAsia="Arial" w:hAnsi="Arial"/>
          <w:rtl w:val="0"/>
        </w:rPr>
        <w:t xml:space="preserve">.</w:t>
      </w:r>
    </w:p>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Phase 5: Governance Policies and FinOps Enablement</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rPr>
      </w:pPr>
      <w:r w:rsidDel="00000000" w:rsidR="00000000" w:rsidRPr="00000000">
        <w:rPr>
          <w:rFonts w:ascii="Arial" w:cs="Arial" w:eastAsia="Arial" w:hAnsi="Arial"/>
          <w:rtl w:val="0"/>
        </w:rPr>
        <w:t xml:space="preserve">Deploy cluster policies across all workspaces to enforce compute configurations, node sizes, runtime versions, and mandatory resource tagging</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Build FinOps monitoring dashboards using the system.billing.usage system table to track consumption, enforce cost attribution, and maintain operational transparency across all business domains</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w:t>
      </w:r>
    </w:p>
    <w:p w:rsidR="00000000" w:rsidDel="00000000" w:rsidP="00000000" w:rsidRDefault="00000000" w:rsidRPr="00000000" w14:paraId="00000096">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09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Phase 2: Design workspace strategy | Databricks on AWS, </w:t>
      </w:r>
      <w:hyperlink r:id="rId7">
        <w:r w:rsidDel="00000000" w:rsidR="00000000" w:rsidRPr="00000000">
          <w:rPr>
            <w:rFonts w:ascii="Arial" w:cs="Arial" w:eastAsia="Arial" w:hAnsi="Arial"/>
            <w:color w:val="0000ee"/>
            <w:sz w:val="24"/>
            <w:szCs w:val="24"/>
            <w:u w:val="single"/>
            <w:rtl w:val="0"/>
          </w:rPr>
          <w:t xml:space="preserve">https://docs.databricks.com/aws/en/lakehouse-architecture/deployment-guide/workspace-strategy</w:t>
        </w:r>
      </w:hyperlink>
      <w:r w:rsidDel="00000000" w:rsidR="00000000" w:rsidRPr="00000000">
        <w:rPr>
          <w:rtl w:val="0"/>
        </w:rPr>
      </w:r>
    </w:p>
    <w:p w:rsidR="00000000" w:rsidDel="00000000" w:rsidP="00000000" w:rsidRDefault="00000000" w:rsidRPr="00000000" w14:paraId="0000009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Migration Databricks – High Level Design - BitPeak, </w:t>
      </w:r>
      <w:hyperlink r:id="rId8">
        <w:r w:rsidDel="00000000" w:rsidR="00000000" w:rsidRPr="00000000">
          <w:rPr>
            <w:rFonts w:ascii="Arial" w:cs="Arial" w:eastAsia="Arial" w:hAnsi="Arial"/>
            <w:color w:val="0000ee"/>
            <w:sz w:val="24"/>
            <w:szCs w:val="24"/>
            <w:u w:val="single"/>
            <w:rtl w:val="0"/>
          </w:rPr>
          <w:t xml:space="preserve">https://bitpeak.com/migration-databricks-high-level-design/</w:t>
        </w:r>
      </w:hyperlink>
      <w:r w:rsidDel="00000000" w:rsidR="00000000" w:rsidRPr="00000000">
        <w:rPr>
          <w:rtl w:val="0"/>
        </w:rPr>
      </w:r>
    </w:p>
    <w:p w:rsidR="00000000" w:rsidDel="00000000" w:rsidP="00000000" w:rsidRDefault="00000000" w:rsidRPr="00000000" w14:paraId="0000009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Phase 4: Design network architecture | Databricks on AWS, </w:t>
      </w:r>
      <w:hyperlink r:id="rId9">
        <w:r w:rsidDel="00000000" w:rsidR="00000000" w:rsidRPr="00000000">
          <w:rPr>
            <w:rFonts w:ascii="Arial" w:cs="Arial" w:eastAsia="Arial" w:hAnsi="Arial"/>
            <w:color w:val="0000ee"/>
            <w:sz w:val="24"/>
            <w:szCs w:val="24"/>
            <w:u w:val="single"/>
            <w:rtl w:val="0"/>
          </w:rPr>
          <w:t xml:space="preserve">https://docs.databricks.com/aws/en/lakehouse-architecture/deployment-guide/network</w:t>
        </w:r>
      </w:hyperlink>
      <w:r w:rsidDel="00000000" w:rsidR="00000000" w:rsidRPr="00000000">
        <w:rPr>
          <w:rtl w:val="0"/>
        </w:rPr>
      </w:r>
    </w:p>
    <w:p w:rsidR="00000000" w:rsidDel="00000000" w:rsidP="00000000" w:rsidRDefault="00000000" w:rsidRPr="00000000" w14:paraId="0000009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Databricks reference architectures (download) | Databricks on AWS, </w:t>
      </w:r>
      <w:hyperlink r:id="rId10">
        <w:r w:rsidDel="00000000" w:rsidR="00000000" w:rsidRPr="00000000">
          <w:rPr>
            <w:rFonts w:ascii="Arial" w:cs="Arial" w:eastAsia="Arial" w:hAnsi="Arial"/>
            <w:color w:val="0000ee"/>
            <w:sz w:val="24"/>
            <w:szCs w:val="24"/>
            <w:u w:val="single"/>
            <w:rtl w:val="0"/>
          </w:rPr>
          <w:t xml:space="preserve">https://docs.databricks.com/aws/en/lakehouse-architecture/reference</w:t>
        </w:r>
      </w:hyperlink>
      <w:r w:rsidDel="00000000" w:rsidR="00000000" w:rsidRPr="00000000">
        <w:rPr>
          <w:rtl w:val="0"/>
        </w:rPr>
      </w:r>
    </w:p>
    <w:p w:rsidR="00000000" w:rsidDel="00000000" w:rsidP="00000000" w:rsidRDefault="00000000" w:rsidRPr="00000000" w14:paraId="0000009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High-level architecture | Databricks on AWS, </w:t>
      </w:r>
      <w:hyperlink r:id="rId11">
        <w:r w:rsidDel="00000000" w:rsidR="00000000" w:rsidRPr="00000000">
          <w:rPr>
            <w:rFonts w:ascii="Arial" w:cs="Arial" w:eastAsia="Arial" w:hAnsi="Arial"/>
            <w:color w:val="0000ee"/>
            <w:sz w:val="24"/>
            <w:szCs w:val="24"/>
            <w:u w:val="single"/>
            <w:rtl w:val="0"/>
          </w:rPr>
          <w:t xml:space="preserve">https://docs.databricks.com/aws/en/getting-started/high-level-architecture</w:t>
        </w:r>
      </w:hyperlink>
      <w:r w:rsidDel="00000000" w:rsidR="00000000" w:rsidRPr="00000000">
        <w:rPr>
          <w:rtl w:val="0"/>
        </w:rPr>
      </w:r>
    </w:p>
    <w:p w:rsidR="00000000" w:rsidDel="00000000" w:rsidP="00000000" w:rsidRDefault="00000000" w:rsidRPr="00000000" w14:paraId="0000009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High-level architecture - Azure Databricks - Microsoft Learn, </w:t>
      </w:r>
      <w:hyperlink r:id="rId12">
        <w:r w:rsidDel="00000000" w:rsidR="00000000" w:rsidRPr="00000000">
          <w:rPr>
            <w:rFonts w:ascii="Arial" w:cs="Arial" w:eastAsia="Arial" w:hAnsi="Arial"/>
            <w:color w:val="0000ee"/>
            <w:sz w:val="24"/>
            <w:szCs w:val="24"/>
            <w:u w:val="single"/>
            <w:rtl w:val="0"/>
          </w:rPr>
          <w:t xml:space="preserve">https://learn.microsoft.com/en-us/azure/databricks/getting-started/high-level-architecture</w:t>
        </w:r>
      </w:hyperlink>
      <w:r w:rsidDel="00000000" w:rsidR="00000000" w:rsidRPr="00000000">
        <w:rPr>
          <w:rtl w:val="0"/>
        </w:rPr>
      </w:r>
    </w:p>
    <w:p w:rsidR="00000000" w:rsidDel="00000000" w:rsidP="00000000" w:rsidRDefault="00000000" w:rsidRPr="00000000" w14:paraId="0000009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Best practices for Unity Catalog structure with multiple workspaces and business areas : r/databricks - Reddit, </w:t>
      </w:r>
      <w:hyperlink r:id="rId13">
        <w:r w:rsidDel="00000000" w:rsidR="00000000" w:rsidRPr="00000000">
          <w:rPr>
            <w:rFonts w:ascii="Arial" w:cs="Arial" w:eastAsia="Arial" w:hAnsi="Arial"/>
            <w:color w:val="0000ee"/>
            <w:sz w:val="24"/>
            <w:szCs w:val="24"/>
            <w:u w:val="single"/>
            <w:rtl w:val="0"/>
          </w:rPr>
          <w:t xml:space="preserve">https://www.reddit.com/r/databricks/comments/1ncihz3/best_practices_for_unity_catalog_structure_with/</w:t>
        </w:r>
      </w:hyperlink>
      <w:r w:rsidDel="00000000" w:rsidR="00000000" w:rsidRPr="00000000">
        <w:rPr>
          <w:rtl w:val="0"/>
        </w:rPr>
      </w:r>
    </w:p>
    <w:p w:rsidR="00000000" w:rsidDel="00000000" w:rsidP="00000000" w:rsidRDefault="00000000" w:rsidRPr="00000000" w14:paraId="0000009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Monitor costs using system tables - Azure Databricks | Microsoft Learn, </w:t>
      </w:r>
      <w:hyperlink r:id="rId14">
        <w:r w:rsidDel="00000000" w:rsidR="00000000" w:rsidRPr="00000000">
          <w:rPr>
            <w:rFonts w:ascii="Arial" w:cs="Arial" w:eastAsia="Arial" w:hAnsi="Arial"/>
            <w:color w:val="0000ee"/>
            <w:sz w:val="24"/>
            <w:szCs w:val="24"/>
            <w:u w:val="single"/>
            <w:rtl w:val="0"/>
          </w:rPr>
          <w:t xml:space="preserve">https://learn.microsoft.com/en-us/azure/databricks/admin/usage/system-tables</w:t>
        </w:r>
      </w:hyperlink>
      <w:r w:rsidDel="00000000" w:rsidR="00000000" w:rsidRPr="00000000">
        <w:rPr>
          <w:rtl w:val="0"/>
        </w:rPr>
      </w:r>
    </w:p>
    <w:p w:rsidR="00000000" w:rsidDel="00000000" w:rsidP="00000000" w:rsidRDefault="00000000" w:rsidRPr="00000000" w14:paraId="0000009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Databricks on Azure – An Architecture Perspective (part 1) | Bluetab - an IBM Company, </w:t>
      </w:r>
      <w:hyperlink r:id="rId15">
        <w:r w:rsidDel="00000000" w:rsidR="00000000" w:rsidRPr="00000000">
          <w:rPr>
            <w:rFonts w:ascii="Arial" w:cs="Arial" w:eastAsia="Arial" w:hAnsi="Arial"/>
            <w:color w:val="0000ee"/>
            <w:sz w:val="24"/>
            <w:szCs w:val="24"/>
            <w:u w:val="single"/>
            <w:rtl w:val="0"/>
          </w:rPr>
          <w:t xml:space="preserve">https://www.bluetab.net/2022/02/databricks-on-azure-an-architecture-perspective-part-1/</w:t>
        </w:r>
      </w:hyperlink>
      <w:r w:rsidDel="00000000" w:rsidR="00000000" w:rsidRPr="00000000">
        <w:rPr>
          <w:rtl w:val="0"/>
        </w:rPr>
      </w:r>
    </w:p>
    <w:p w:rsidR="00000000" w:rsidDel="00000000" w:rsidP="00000000" w:rsidRDefault="00000000" w:rsidRPr="00000000" w14:paraId="000000A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Private Link concepts | Databricks on AWS, </w:t>
      </w:r>
      <w:hyperlink r:id="rId16">
        <w:r w:rsidDel="00000000" w:rsidR="00000000" w:rsidRPr="00000000">
          <w:rPr>
            <w:rFonts w:ascii="Arial" w:cs="Arial" w:eastAsia="Arial" w:hAnsi="Arial"/>
            <w:color w:val="0000ee"/>
            <w:sz w:val="24"/>
            <w:szCs w:val="24"/>
            <w:u w:val="single"/>
            <w:rtl w:val="0"/>
          </w:rPr>
          <w:t xml:space="preserve">https://docs.databricks.com/aws/en/security/network/concepts/privatelink-concepts</w:t>
        </w:r>
      </w:hyperlink>
      <w:r w:rsidDel="00000000" w:rsidR="00000000" w:rsidRPr="00000000">
        <w:rPr>
          <w:rtl w:val="0"/>
        </w:rPr>
      </w:r>
    </w:p>
    <w:p w:rsidR="00000000" w:rsidDel="00000000" w:rsidP="00000000" w:rsidRDefault="00000000" w:rsidRPr="00000000" w14:paraId="000000A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Private Service Connect concepts | Databricks on Google Cloud, </w:t>
      </w:r>
      <w:hyperlink r:id="rId17">
        <w:r w:rsidDel="00000000" w:rsidR="00000000" w:rsidRPr="00000000">
          <w:rPr>
            <w:rFonts w:ascii="Arial" w:cs="Arial" w:eastAsia="Arial" w:hAnsi="Arial"/>
            <w:color w:val="0000ee"/>
            <w:sz w:val="24"/>
            <w:szCs w:val="24"/>
            <w:u w:val="single"/>
            <w:rtl w:val="0"/>
          </w:rPr>
          <w:t xml:space="preserve">https://docs.databricks.com/gcp/en/security/network/concepts/privatelink-concepts</w:t>
        </w:r>
      </w:hyperlink>
      <w:r w:rsidDel="00000000" w:rsidR="00000000" w:rsidRPr="00000000">
        <w:rPr>
          <w:rtl w:val="0"/>
        </w:rPr>
      </w:r>
    </w:p>
    <w:p w:rsidR="00000000" w:rsidDel="00000000" w:rsidP="00000000" w:rsidRDefault="00000000" w:rsidRPr="00000000" w14:paraId="000000A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Configure private connectivity to resources in your VNet - Azure Databricks, </w:t>
      </w:r>
      <w:hyperlink r:id="rId18">
        <w:r w:rsidDel="00000000" w:rsidR="00000000" w:rsidRPr="00000000">
          <w:rPr>
            <w:rFonts w:ascii="Arial" w:cs="Arial" w:eastAsia="Arial" w:hAnsi="Arial"/>
            <w:color w:val="0000ee"/>
            <w:sz w:val="24"/>
            <w:szCs w:val="24"/>
            <w:u w:val="single"/>
            <w:rtl w:val="0"/>
          </w:rPr>
          <w:t xml:space="preserve">https://docs.azure.cn/en-us/databricks/security/network/serverless-network-security/pl-to-internal-network</w:t>
        </w:r>
      </w:hyperlink>
      <w:r w:rsidDel="00000000" w:rsidR="00000000" w:rsidRPr="00000000">
        <w:rPr>
          <w:rtl w:val="0"/>
        </w:rPr>
      </w:r>
    </w:p>
    <w:p w:rsidR="00000000" w:rsidDel="00000000" w:rsidP="00000000" w:rsidRDefault="00000000" w:rsidRPr="00000000" w14:paraId="000000A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Practical Guide to Catalog Layout, Data Sharing and Distribution with Databricks Unity Catalog — Part 2 | by Karthik Subbarao - Medium, </w:t>
      </w:r>
      <w:hyperlink r:id="rId19">
        <w:r w:rsidDel="00000000" w:rsidR="00000000" w:rsidRPr="00000000">
          <w:rPr>
            <w:rFonts w:ascii="Arial" w:cs="Arial" w:eastAsia="Arial" w:hAnsi="Arial"/>
            <w:color w:val="0000ee"/>
            <w:sz w:val="24"/>
            <w:szCs w:val="24"/>
            <w:u w:val="single"/>
            <w:rtl w:val="0"/>
          </w:rPr>
          <w:t xml:space="preserve">https://medium.com/databricks-unity-catalog-sme/a-practical-guide-to-catalog-layout-data-sharing-and-distribution-with-databricks-unity-catalog-f34fa822a367</w:t>
        </w:r>
      </w:hyperlink>
      <w:r w:rsidDel="00000000" w:rsidR="00000000" w:rsidRPr="00000000">
        <w:rPr>
          <w:rtl w:val="0"/>
        </w:rPr>
      </w:r>
    </w:p>
    <w:p w:rsidR="00000000" w:rsidDel="00000000" w:rsidP="00000000" w:rsidRDefault="00000000" w:rsidRPr="00000000" w14:paraId="000000A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Configure private connectivity to Azure resources - Azure Databricks | Microsoft Learn, </w:t>
      </w:r>
      <w:hyperlink r:id="rId20">
        <w:r w:rsidDel="00000000" w:rsidR="00000000" w:rsidRPr="00000000">
          <w:rPr>
            <w:rFonts w:ascii="Arial" w:cs="Arial" w:eastAsia="Arial" w:hAnsi="Arial"/>
            <w:color w:val="0000ee"/>
            <w:sz w:val="24"/>
            <w:szCs w:val="24"/>
            <w:u w:val="single"/>
            <w:rtl w:val="0"/>
          </w:rPr>
          <w:t xml:space="preserve">https://learn.microsoft.com/en-us/azure/databricks/security/network/serverless-network-security/serverless-private-link</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learn.microsoft.com/en-us/azure/databricks/security/network/serverless-network-security/serverless-private-link" TargetMode="External"/><Relationship Id="rId11" Type="http://schemas.openxmlformats.org/officeDocument/2006/relationships/hyperlink" Target="https://docs.databricks.com/aws/en/getting-started/high-level-architecture" TargetMode="External"/><Relationship Id="rId10" Type="http://schemas.openxmlformats.org/officeDocument/2006/relationships/hyperlink" Target="https://docs.databricks.com/aws/en/lakehouse-architecture/reference" TargetMode="External"/><Relationship Id="rId13" Type="http://schemas.openxmlformats.org/officeDocument/2006/relationships/hyperlink" Target="https://www.reddit.com/r/databricks/comments/1ncihz3/best_practices_for_unity_catalog_structure_with/" TargetMode="External"/><Relationship Id="rId12" Type="http://schemas.openxmlformats.org/officeDocument/2006/relationships/hyperlink" Target="https://learn.microsoft.com/en-us/azure/databricks/getting-started/high-level-architectur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atabricks.com/aws/en/lakehouse-architecture/deployment-guide/network" TargetMode="External"/><Relationship Id="rId15" Type="http://schemas.openxmlformats.org/officeDocument/2006/relationships/hyperlink" Target="https://www.bluetab.net/2022/02/databricks-on-azure-an-architecture-perspective-part-1/" TargetMode="External"/><Relationship Id="rId14" Type="http://schemas.openxmlformats.org/officeDocument/2006/relationships/hyperlink" Target="https://learn.microsoft.com/en-us/azure/databricks/admin/usage/system-tables" TargetMode="External"/><Relationship Id="rId17" Type="http://schemas.openxmlformats.org/officeDocument/2006/relationships/hyperlink" Target="https://docs.databricks.com/gcp/en/security/network/concepts/privatelink-concepts" TargetMode="External"/><Relationship Id="rId16" Type="http://schemas.openxmlformats.org/officeDocument/2006/relationships/hyperlink" Target="https://docs.databricks.com/aws/en/security/network/concepts/privatelink-concepts" TargetMode="External"/><Relationship Id="rId5" Type="http://schemas.openxmlformats.org/officeDocument/2006/relationships/styles" Target="styles.xml"/><Relationship Id="rId19" Type="http://schemas.openxmlformats.org/officeDocument/2006/relationships/hyperlink" Target="https://medium.com/databricks-unity-catalog-sme/a-practical-guide-to-catalog-layout-data-sharing-and-distribution-with-databricks-unity-catalog-f34fa822a367" TargetMode="External"/><Relationship Id="rId6" Type="http://schemas.openxmlformats.org/officeDocument/2006/relationships/image" Target="media/image1.png"/><Relationship Id="rId18" Type="http://schemas.openxmlformats.org/officeDocument/2006/relationships/hyperlink" Target="https://docs.azure.cn/en-us/databricks/security/network/serverless-network-security/pl-to-internal-network" TargetMode="External"/><Relationship Id="rId7" Type="http://schemas.openxmlformats.org/officeDocument/2006/relationships/hyperlink" Target="https://docs.databricks.com/aws/en/lakehouse-architecture/deployment-guide/workspace-strategy" TargetMode="External"/><Relationship Id="rId8" Type="http://schemas.openxmlformats.org/officeDocument/2006/relationships/hyperlink" Target="https://bitpeak.com/migration-databricks-high-level-desig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